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CESI黑体-GB2312" w:hAnsi="CESI黑体-GB2312" w:eastAsia="CESI黑体-GB2312" w:cs="CESI黑体-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bookmarkStart w:id="0" w:name="_GoBack"/>
      <w:bookmarkEnd w:id="0"/>
    </w:p>
    <w:p>
      <w:pPr>
        <w:widowControl w:val="0"/>
        <w:autoSpaceDE w:val="0"/>
        <w:autoSpaceDN w:val="0"/>
        <w:spacing w:line="523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22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22"/>
          <w:lang w:val="en-US" w:eastAsia="zh-CN" w:bidi="ar-SA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22"/>
          <w:lang w:val="en-US" w:eastAsia="en-US" w:bidi="ar-SA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"/>
          <w:sz w:val="44"/>
          <w:szCs w:val="22"/>
          <w:lang w:val="en-US" w:eastAsia="en-US" w:bidi="ar-SA"/>
        </w:rPr>
        <w:t>XX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"/>
          <w:sz w:val="44"/>
          <w:szCs w:val="22"/>
          <w:lang w:val="en-US" w:eastAsia="zh-CN" w:bidi="ar-SA"/>
        </w:rPr>
        <w:t>（省级社会组织）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22"/>
          <w:lang w:val="en-US" w:eastAsia="en-US" w:bidi="ar-SA"/>
        </w:rPr>
        <w:t>公益性捐赠税前扣除资格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22"/>
          <w:lang w:val="en-US" w:eastAsia="zh-CN" w:bidi="ar-SA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22"/>
          <w:lang w:val="en-US" w:eastAsia="en-US" w:bidi="ar-SA"/>
        </w:rPr>
        <w:t>表</w:t>
      </w:r>
    </w:p>
    <w:tbl>
      <w:tblPr>
        <w:tblStyle w:val="3"/>
        <w:tblpPr w:leftFromText="180" w:rightFromText="180" w:vertAnchor="text" w:horzAnchor="page" w:tblpXSpec="center" w:tblpY="542"/>
        <w:tblOverlap w:val="never"/>
        <w:tblW w:w="148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1041"/>
        <w:gridCol w:w="671"/>
        <w:gridCol w:w="1235"/>
        <w:gridCol w:w="1002"/>
        <w:gridCol w:w="608"/>
        <w:gridCol w:w="600"/>
        <w:gridCol w:w="1196"/>
        <w:gridCol w:w="670"/>
        <w:gridCol w:w="698"/>
        <w:gridCol w:w="641"/>
        <w:gridCol w:w="713"/>
        <w:gridCol w:w="1020"/>
        <w:gridCol w:w="1020"/>
        <w:gridCol w:w="767"/>
        <w:gridCol w:w="855"/>
        <w:gridCol w:w="811"/>
        <w:gridCol w:w="8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统一代码</w:t>
            </w: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登记管理机关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登记时间</w:t>
            </w:r>
          </w:p>
        </w:tc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是否为慈善组织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是否具有公开募捐资格</w:t>
            </w:r>
          </w:p>
        </w:tc>
        <w:tc>
          <w:tcPr>
            <w:tcW w:w="39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2023-2024年度公益慈善事业支出比例及管理费用占比情况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2023-2024年度及本年度是否受到行政处罚（警告除外）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2023-2024年度及本年度是否列入严重违法失信名单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社会组织评估情况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公益性捐赠税前扣除资格情况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达标情况（达标或未达标）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2023年度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社会组织评估等级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有效期截止时间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公益性捐赠税前扣除资格到期时间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拟申请公益性捐赠税前扣除时间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  <w:jc w:val="center"/>
        </w:trPr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年度支出比例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管理费用占比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年度支出比例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管理费用占比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6645D"/>
    <w:rsid w:val="4CA6645D"/>
    <w:rsid w:val="7FE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2025-10-16T16:24:00Z</dcterms:created>
  <dc:creator>雯晓雯</dc:creator>
  <cp:lastModifiedBy>Individual</cp:lastModifiedBy>
  <dcterms:modified xsi:type="dcterms:W3CDTF">2025-10-16T17:40:06Z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402FBB950C46664376BDF068AAEC4CC5_43</vt:lpwstr>
  </property>
  <property fmtid="{D5CDD505-2E9C-101B-9397-08002B2CF9AE}" pid="4" name="KSOTemplateDocerSaveRecord">
    <vt:lpwstr>eyJoZGlkIjoiZDMzZjY2MTI3MmQ3Yzk2MjlhMDY4MWYyNjNkMjJiZmUiLCJ1c2VySWQiOiIyOTI3OTMwMjcifQ==</vt:lpwstr>
  </property>
</Properties>
</file>