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8E1107">
      <w:pPr>
        <w:bidi w:val="0"/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44"/>
          <w:szCs w:val="44"/>
        </w:rPr>
      </w:pPr>
    </w:p>
    <w:p w14:paraId="672C59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9"/>
        <w:rPr>
          <w:rFonts w:hint="eastAsia" w:ascii="楷体" w:hAnsi="楷体" w:eastAsia="楷体" w:cs="楷体"/>
          <w:b/>
          <w:bCs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年检系统</w:t>
      </w:r>
    </w:p>
    <w:p w14:paraId="31767F83">
      <w:pPr>
        <w:spacing w:before="0" w:beforeLines="0" w:after="0" w:afterLines="0" w:line="240" w:lineRule="auto"/>
        <w:ind w:right="0" w:rightChars="0" w:firstLine="753" w:firstLineChars="500"/>
        <w:jc w:val="both"/>
        <w:rPr>
          <w:rFonts w:hint="eastAsia" w:ascii="楷体" w:hAnsi="楷体" w:eastAsia="楷体" w:cs="楷体"/>
          <w:b/>
          <w:bCs/>
          <w:color w:val="7E7E7E"/>
          <w:sz w:val="15"/>
          <w:szCs w:val="15"/>
          <w:u w:val="single"/>
          <w:lang w:val="en-US" w:eastAsia="zh-CN"/>
        </w:rPr>
      </w:pPr>
    </w:p>
    <w:p w14:paraId="258E6B28">
      <w:pPr>
        <w:spacing w:before="0" w:beforeLines="0" w:after="0" w:afterLines="0" w:line="240" w:lineRule="auto"/>
        <w:ind w:right="0" w:rightChars="0" w:firstLine="753" w:firstLineChars="500"/>
        <w:jc w:val="both"/>
        <w:rPr>
          <w:rFonts w:hint="eastAsia" w:ascii="楷体" w:hAnsi="楷体" w:eastAsia="楷体" w:cs="楷体"/>
          <w:b/>
          <w:bCs/>
          <w:color w:val="7E7E7E"/>
          <w:sz w:val="15"/>
          <w:szCs w:val="15"/>
          <w:u w:val="single"/>
          <w:lang w:val="en-US" w:eastAsia="zh-CN"/>
        </w:rPr>
      </w:pPr>
    </w:p>
    <w:p w14:paraId="1FA16F15">
      <w:pPr>
        <w:spacing w:before="0" w:beforeLines="0" w:after="0" w:afterLines="0" w:line="240" w:lineRule="auto"/>
        <w:ind w:right="0" w:rightChars="0" w:firstLine="753" w:firstLineChars="500"/>
        <w:jc w:val="both"/>
        <w:rPr>
          <w:rFonts w:hint="eastAsia" w:ascii="楷体" w:hAnsi="楷体" w:eastAsia="楷体" w:cs="楷体"/>
          <w:b/>
          <w:bCs/>
          <w:color w:val="7E7E7E"/>
          <w:sz w:val="15"/>
          <w:szCs w:val="15"/>
          <w:u w:val="single"/>
          <w:lang w:val="en-US" w:eastAsia="zh-CN"/>
        </w:rPr>
      </w:pPr>
    </w:p>
    <w:p w14:paraId="3DFCD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b/>
          <w:bCs/>
          <w:sz w:val="48"/>
          <w:szCs w:val="48"/>
          <w:lang w:val="en-US" w:eastAsia="zh-CN"/>
        </w:rPr>
      </w:pPr>
    </w:p>
    <w:p w14:paraId="14205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b/>
          <w:bCs/>
          <w:sz w:val="48"/>
          <w:szCs w:val="48"/>
          <w:lang w:val="en-US" w:eastAsia="zh-CN"/>
        </w:rPr>
      </w:pPr>
    </w:p>
    <w:p w14:paraId="07231553">
      <w:pPr>
        <w:pStyle w:val="2"/>
        <w:rPr>
          <w:rFonts w:hint="eastAsia" w:ascii="楷体" w:hAnsi="楷体" w:eastAsia="楷体" w:cs="楷体"/>
          <w:b/>
          <w:bCs/>
          <w:lang w:val="en-US" w:eastAsia="zh-CN"/>
        </w:rPr>
      </w:pPr>
    </w:p>
    <w:p w14:paraId="6217E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48"/>
          <w:szCs w:val="48"/>
          <w:lang w:val="en-US" w:eastAsia="zh-CN"/>
        </w:rPr>
      </w:pPr>
      <w:bookmarkStart w:id="0" w:name="_Toc3689"/>
      <w:bookmarkStart w:id="1" w:name="_Toc3223"/>
      <w:bookmarkStart w:id="2" w:name="_Toc8032"/>
      <w:bookmarkStart w:id="3" w:name="_Toc15955"/>
      <w:r>
        <w:rPr>
          <w:rFonts w:hint="eastAsia" w:ascii="楷体" w:hAnsi="楷体" w:eastAsia="楷体" w:cs="楷体"/>
          <w:b/>
          <w:bCs/>
          <w:sz w:val="48"/>
          <w:szCs w:val="48"/>
          <w:lang w:val="en-US" w:eastAsia="zh-CN"/>
        </w:rPr>
        <w:t>操</w:t>
      </w:r>
      <w:bookmarkEnd w:id="0"/>
      <w:bookmarkEnd w:id="1"/>
      <w:bookmarkEnd w:id="2"/>
      <w:bookmarkEnd w:id="3"/>
    </w:p>
    <w:p w14:paraId="4BE280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48"/>
          <w:szCs w:val="48"/>
          <w:lang w:val="en-US" w:eastAsia="zh-CN"/>
        </w:rPr>
      </w:pPr>
      <w:bookmarkStart w:id="4" w:name="_Toc1453"/>
      <w:bookmarkStart w:id="5" w:name="_Toc6035"/>
      <w:bookmarkStart w:id="6" w:name="_Toc5973"/>
      <w:bookmarkStart w:id="7" w:name="_Toc17415"/>
      <w:r>
        <w:rPr>
          <w:rFonts w:hint="eastAsia" w:ascii="楷体" w:hAnsi="楷体" w:eastAsia="楷体" w:cs="楷体"/>
          <w:b/>
          <w:bCs/>
          <w:sz w:val="48"/>
          <w:szCs w:val="48"/>
          <w:lang w:val="en-US" w:eastAsia="zh-CN"/>
        </w:rPr>
        <w:t>作</w:t>
      </w:r>
      <w:bookmarkEnd w:id="4"/>
      <w:bookmarkEnd w:id="5"/>
      <w:bookmarkEnd w:id="6"/>
      <w:bookmarkEnd w:id="7"/>
    </w:p>
    <w:p w14:paraId="033757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48"/>
          <w:szCs w:val="48"/>
          <w:lang w:val="en-US" w:eastAsia="zh-CN"/>
        </w:rPr>
      </w:pPr>
      <w:bookmarkStart w:id="8" w:name="_Toc8425"/>
      <w:bookmarkStart w:id="9" w:name="_Toc15790"/>
      <w:bookmarkStart w:id="10" w:name="_Toc12279"/>
      <w:bookmarkStart w:id="11" w:name="_Toc15472"/>
      <w:r>
        <w:rPr>
          <w:rFonts w:hint="eastAsia" w:ascii="楷体" w:hAnsi="楷体" w:eastAsia="楷体" w:cs="楷体"/>
          <w:b/>
          <w:bCs/>
          <w:sz w:val="48"/>
          <w:szCs w:val="48"/>
          <w:lang w:val="en-US" w:eastAsia="zh-CN"/>
        </w:rPr>
        <w:t>手</w:t>
      </w:r>
      <w:bookmarkEnd w:id="8"/>
      <w:bookmarkEnd w:id="9"/>
      <w:bookmarkEnd w:id="10"/>
      <w:bookmarkEnd w:id="11"/>
    </w:p>
    <w:p w14:paraId="3A1C93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80"/>
          <w:szCs w:val="80"/>
          <w:lang w:val="en-US" w:eastAsia="zh-CN"/>
        </w:rPr>
      </w:pPr>
      <w:bookmarkStart w:id="12" w:name="_Toc29972"/>
      <w:bookmarkStart w:id="13" w:name="_Toc13366"/>
      <w:bookmarkStart w:id="14" w:name="_Toc32601"/>
      <w:bookmarkStart w:id="15" w:name="_Toc6751"/>
      <w:r>
        <w:rPr>
          <w:rFonts w:hint="eastAsia" w:ascii="楷体" w:hAnsi="楷体" w:eastAsia="楷体" w:cs="楷体"/>
          <w:b/>
          <w:bCs/>
          <w:sz w:val="48"/>
          <w:szCs w:val="48"/>
          <w:lang w:val="en-US" w:eastAsia="zh-CN"/>
        </w:rPr>
        <w:t>册</w:t>
      </w:r>
      <w:bookmarkEnd w:id="12"/>
      <w:bookmarkEnd w:id="13"/>
      <w:bookmarkEnd w:id="14"/>
      <w:bookmarkEnd w:id="15"/>
    </w:p>
    <w:p w14:paraId="61DB9E1B">
      <w:pPr>
        <w:jc w:val="center"/>
        <w:rPr>
          <w:rFonts w:hint="eastAsia" w:ascii="楷体" w:hAnsi="楷体" w:eastAsia="楷体" w:cs="楷体"/>
          <w:b/>
          <w:bCs/>
          <w:sz w:val="80"/>
          <w:szCs w:val="80"/>
          <w:lang w:val="en-US" w:eastAsia="zh-CN"/>
        </w:rPr>
      </w:pPr>
    </w:p>
    <w:p w14:paraId="02DA601B">
      <w:pPr>
        <w:spacing w:before="0" w:beforeLines="0" w:after="0" w:afterLines="0" w:line="240" w:lineRule="auto"/>
        <w:ind w:right="0" w:rightChars="0" w:firstLine="753" w:firstLineChars="500"/>
        <w:jc w:val="both"/>
        <w:rPr>
          <w:rFonts w:hint="eastAsia" w:ascii="楷体" w:hAnsi="楷体" w:eastAsia="楷体" w:cs="楷体"/>
          <w:b/>
          <w:bCs/>
          <w:color w:val="7E7E7E"/>
          <w:sz w:val="15"/>
          <w:szCs w:val="15"/>
        </w:rPr>
      </w:pPr>
    </w:p>
    <w:p w14:paraId="70989A02">
      <w:pPr>
        <w:spacing w:before="0" w:beforeLines="0" w:after="0" w:afterLines="0" w:line="240" w:lineRule="auto"/>
        <w:ind w:right="0" w:rightChars="0" w:firstLine="753" w:firstLineChars="500"/>
        <w:jc w:val="both"/>
        <w:rPr>
          <w:rFonts w:hint="eastAsia" w:ascii="楷体" w:hAnsi="楷体" w:eastAsia="楷体" w:cs="楷体"/>
          <w:b/>
          <w:bCs/>
          <w:color w:val="7E7E7E"/>
          <w:sz w:val="15"/>
          <w:szCs w:val="15"/>
        </w:rPr>
      </w:pPr>
    </w:p>
    <w:p w14:paraId="08440E8F">
      <w:pPr>
        <w:spacing w:before="0" w:beforeLines="0" w:after="0" w:afterLines="0" w:line="240" w:lineRule="auto"/>
        <w:ind w:right="0" w:rightChars="0"/>
        <w:jc w:val="both"/>
        <w:rPr>
          <w:rFonts w:hint="eastAsia" w:ascii="楷体" w:hAnsi="楷体" w:eastAsia="楷体" w:cs="楷体"/>
          <w:b/>
          <w:bCs/>
          <w:color w:val="7E7E7E"/>
          <w:sz w:val="15"/>
          <w:szCs w:val="15"/>
        </w:rPr>
      </w:pPr>
    </w:p>
    <w:p w14:paraId="79481935">
      <w:pPr>
        <w:spacing w:before="0" w:beforeLines="0" w:after="0" w:afterLines="0" w:line="240" w:lineRule="auto"/>
        <w:ind w:right="0" w:rightChars="0" w:firstLine="753" w:firstLineChars="500"/>
        <w:jc w:val="both"/>
        <w:rPr>
          <w:rFonts w:hint="eastAsia" w:ascii="楷体" w:hAnsi="楷体" w:eastAsia="楷体" w:cs="楷体"/>
          <w:b/>
          <w:bCs/>
          <w:color w:val="7E7E7E"/>
          <w:sz w:val="15"/>
          <w:szCs w:val="15"/>
        </w:rPr>
      </w:pPr>
    </w:p>
    <w:p w14:paraId="1F1223C1">
      <w:pPr>
        <w:spacing w:before="0" w:beforeLines="0" w:after="0" w:afterLines="0" w:line="240" w:lineRule="auto"/>
        <w:ind w:right="0" w:rightChars="0" w:firstLine="753" w:firstLineChars="500"/>
        <w:jc w:val="both"/>
        <w:rPr>
          <w:rFonts w:hint="eastAsia" w:ascii="楷体" w:hAnsi="楷体" w:eastAsia="楷体" w:cs="楷体"/>
          <w:b/>
          <w:bCs/>
          <w:color w:val="7E7E7E"/>
          <w:sz w:val="15"/>
          <w:szCs w:val="15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7E7E7E"/>
          <w:sz w:val="15"/>
          <w:szCs w:val="15"/>
          <w:lang w:val="en-US" w:eastAsia="zh-CN"/>
        </w:rPr>
        <w:t xml:space="preserve"> </w:t>
      </w:r>
    </w:p>
    <w:p w14:paraId="582DBA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 xml:space="preserve">   日期：2026年1月</w:t>
      </w:r>
    </w:p>
    <w:p w14:paraId="7CACA23E">
      <w:pPr>
        <w:bidi w:val="0"/>
        <w:jc w:val="center"/>
        <w:rPr>
          <w:rFonts w:hint="eastAsia"/>
          <w:lang w:val="en-US" w:eastAsia="zh-CN"/>
        </w:rPr>
      </w:pPr>
    </w:p>
    <w:p w14:paraId="623F31CE">
      <w:pPr>
        <w:bidi w:val="0"/>
        <w:jc w:val="center"/>
        <w:rPr>
          <w:rFonts w:hint="eastAsia"/>
          <w:lang w:val="en-US" w:eastAsia="zh-CN"/>
        </w:rPr>
      </w:pPr>
    </w:p>
    <w:p w14:paraId="3C7C78D7">
      <w:pPr>
        <w:bidi w:val="0"/>
        <w:jc w:val="center"/>
        <w:rPr>
          <w:rFonts w:hint="eastAsia"/>
          <w:lang w:val="en-US" w:eastAsia="zh-CN"/>
        </w:rPr>
      </w:pPr>
    </w:p>
    <w:p w14:paraId="1E29B475">
      <w:pPr>
        <w:bidi w:val="0"/>
        <w:jc w:val="center"/>
        <w:rPr>
          <w:rFonts w:hint="eastAsia"/>
          <w:lang w:val="en-US" w:eastAsia="zh-CN"/>
        </w:rPr>
      </w:pPr>
    </w:p>
    <w:p w14:paraId="5B3E60C1">
      <w:pPr>
        <w:bidi w:val="0"/>
        <w:ind w:left="0" w:leftChars="0" w:firstLine="0" w:firstLineChars="0"/>
        <w:jc w:val="both"/>
        <w:rPr>
          <w:rFonts w:hint="eastAsia"/>
          <w:lang w:eastAsia="zh-CN"/>
        </w:rPr>
      </w:pPr>
    </w:p>
    <w:p w14:paraId="6BC3B5E6">
      <w:pPr>
        <w:bidi w:val="0"/>
        <w:jc w:val="center"/>
        <w:rPr>
          <w:rFonts w:hint="eastAsia"/>
          <w:lang w:eastAsia="zh-CN"/>
        </w:rPr>
      </w:pPr>
    </w:p>
    <w:p w14:paraId="7A5C6CDB">
      <w:pPr>
        <w:bidi w:val="0"/>
        <w:jc w:val="center"/>
        <w:rPr>
          <w:rFonts w:hint="eastAsia"/>
          <w:lang w:eastAsia="zh-CN"/>
        </w:rPr>
      </w:pPr>
    </w:p>
    <w:p w14:paraId="16F92E98">
      <w:pPr>
        <w:bidi w:val="0"/>
        <w:ind w:left="0" w:leftChars="0" w:firstLine="0" w:firstLineChars="0"/>
        <w:jc w:val="center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目录</w:t>
      </w:r>
    </w:p>
    <w:p w14:paraId="2924FA74">
      <w:pPr>
        <w:pStyle w:val="16"/>
        <w:tabs>
          <w:tab w:val="right" w:leader="dot" w:pos="8306"/>
        </w:tabs>
      </w:pPr>
      <w:r>
        <w:rPr>
          <w:rFonts w:hint="eastAsia" w:ascii="楷体" w:hAnsi="楷体" w:eastAsia="楷体" w:cs="楷体"/>
          <w:lang w:eastAsia="zh-CN"/>
        </w:rPr>
        <w:fldChar w:fldCharType="begin"/>
      </w:r>
      <w:r>
        <w:rPr>
          <w:rFonts w:hint="eastAsia" w:ascii="楷体" w:hAnsi="楷体" w:eastAsia="楷体" w:cs="楷体"/>
          <w:lang w:eastAsia="zh-CN"/>
        </w:rPr>
        <w:instrText xml:space="preserve"> TOC \* MERGEFORMAT </w:instrText>
      </w:r>
      <w:r>
        <w:rPr>
          <w:rFonts w:hint="eastAsia" w:ascii="楷体" w:hAnsi="楷体" w:eastAsia="楷体" w:cs="楷体"/>
          <w:lang w:eastAsia="zh-CN"/>
        </w:rPr>
        <w:fldChar w:fldCharType="separate"/>
      </w:r>
      <w:r>
        <w:rPr>
          <w:rFonts w:hint="eastAsia" w:ascii="楷体" w:hAnsi="楷体" w:eastAsia="楷体" w:cs="楷体"/>
          <w:lang w:eastAsia="zh-CN"/>
        </w:rPr>
        <w:t>一、 系统访问</w:t>
      </w:r>
      <w:r>
        <w:tab/>
      </w:r>
      <w:r>
        <w:fldChar w:fldCharType="begin"/>
      </w:r>
      <w:r>
        <w:instrText xml:space="preserve"> PAGEREF _Toc7178 \h </w:instrText>
      </w:r>
      <w:r>
        <w:fldChar w:fldCharType="separate"/>
      </w:r>
      <w:r>
        <w:t>3</w:t>
      </w:r>
      <w:r>
        <w:fldChar w:fldCharType="end"/>
      </w:r>
    </w:p>
    <w:p w14:paraId="49AA2B84">
      <w:pPr>
        <w:pStyle w:val="17"/>
        <w:tabs>
          <w:tab w:val="right" w:leader="dot" w:pos="8306"/>
        </w:tabs>
      </w:pPr>
      <w:r>
        <w:rPr>
          <w:rFonts w:hint="eastAsia" w:ascii="楷体" w:hAnsi="楷体" w:eastAsia="楷体" w:cs="楷体"/>
          <w:lang w:val="en-US" w:eastAsia="zh-CN"/>
        </w:rPr>
        <w:t>（一） VPN安装</w:t>
      </w:r>
      <w:r>
        <w:tab/>
      </w:r>
      <w:r>
        <w:fldChar w:fldCharType="begin"/>
      </w:r>
      <w:r>
        <w:instrText xml:space="preserve"> PAGEREF _Toc28329 \h </w:instrText>
      </w:r>
      <w:r>
        <w:fldChar w:fldCharType="separate"/>
      </w:r>
      <w:r>
        <w:t>3</w:t>
      </w:r>
      <w:r>
        <w:fldChar w:fldCharType="end"/>
      </w:r>
    </w:p>
    <w:p w14:paraId="74A0677E">
      <w:pPr>
        <w:pStyle w:val="17"/>
        <w:tabs>
          <w:tab w:val="right" w:leader="dot" w:pos="8306"/>
        </w:tabs>
      </w:pPr>
      <w:r>
        <w:rPr>
          <w:rFonts w:hint="eastAsia" w:ascii="楷体" w:hAnsi="楷体" w:eastAsia="楷体" w:cs="楷体"/>
          <w:lang w:val="en-US" w:eastAsia="zh-CN"/>
        </w:rPr>
        <w:t>（二） VPN登录</w:t>
      </w:r>
      <w:r>
        <w:tab/>
      </w:r>
      <w:r>
        <w:fldChar w:fldCharType="begin"/>
      </w:r>
      <w:r>
        <w:instrText xml:space="preserve"> PAGEREF _Toc25541 \h </w:instrText>
      </w:r>
      <w:r>
        <w:fldChar w:fldCharType="separate"/>
      </w:r>
      <w:r>
        <w:t>3</w:t>
      </w:r>
      <w:r>
        <w:fldChar w:fldCharType="end"/>
      </w:r>
    </w:p>
    <w:p w14:paraId="3B9A6EC8">
      <w:pPr>
        <w:pStyle w:val="17"/>
        <w:tabs>
          <w:tab w:val="right" w:leader="dot" w:pos="8306"/>
        </w:tabs>
      </w:pPr>
      <w:r>
        <w:rPr>
          <w:rFonts w:hint="eastAsia" w:ascii="楷体" w:hAnsi="楷体" w:eastAsia="楷体" w:cs="楷体"/>
          <w:lang w:val="en-US" w:eastAsia="zh-CN"/>
        </w:rPr>
        <w:t>（三） 系统访问地址</w:t>
      </w:r>
      <w:r>
        <w:tab/>
      </w:r>
      <w:r>
        <w:fldChar w:fldCharType="begin"/>
      </w:r>
      <w:r>
        <w:instrText xml:space="preserve"> PAGEREF _Toc888 \h </w:instrText>
      </w:r>
      <w:r>
        <w:fldChar w:fldCharType="separate"/>
      </w:r>
      <w:r>
        <w:t>4</w:t>
      </w:r>
      <w:r>
        <w:fldChar w:fldCharType="end"/>
      </w:r>
    </w:p>
    <w:p w14:paraId="3B9D3ACF">
      <w:pPr>
        <w:pStyle w:val="16"/>
        <w:tabs>
          <w:tab w:val="right" w:leader="dot" w:pos="8306"/>
        </w:tabs>
      </w:pPr>
      <w:r>
        <w:rPr>
          <w:rFonts w:hint="eastAsia" w:ascii="楷体" w:hAnsi="楷体" w:eastAsia="楷体" w:cs="楷体"/>
          <w:lang w:eastAsia="zh-CN"/>
        </w:rPr>
        <w:t>二、 用户登录</w:t>
      </w:r>
      <w:r>
        <w:tab/>
      </w:r>
      <w:r>
        <w:fldChar w:fldCharType="begin"/>
      </w:r>
      <w:r>
        <w:instrText xml:space="preserve"> PAGEREF _Toc5501 \h </w:instrText>
      </w:r>
      <w:r>
        <w:fldChar w:fldCharType="separate"/>
      </w:r>
      <w:r>
        <w:t>4</w:t>
      </w:r>
      <w:r>
        <w:fldChar w:fldCharType="end"/>
      </w:r>
    </w:p>
    <w:p w14:paraId="624D86F3">
      <w:pPr>
        <w:pStyle w:val="16"/>
        <w:tabs>
          <w:tab w:val="right" w:leader="dot" w:pos="8306"/>
        </w:tabs>
      </w:pPr>
      <w:r>
        <w:rPr>
          <w:rFonts w:hint="eastAsia" w:ascii="楷体" w:hAnsi="楷体" w:eastAsia="楷体" w:cs="楷体"/>
          <w:lang w:eastAsia="zh-CN"/>
        </w:rPr>
        <w:t xml:space="preserve">三、 </w:t>
      </w:r>
      <w:r>
        <w:rPr>
          <w:rFonts w:hint="eastAsia" w:ascii="楷体" w:hAnsi="楷体" w:eastAsia="楷体" w:cs="楷体"/>
          <w:lang w:val="en-US" w:eastAsia="zh-CN"/>
        </w:rPr>
        <w:t>年检</w:t>
      </w:r>
      <w:r>
        <w:rPr>
          <w:rFonts w:hint="eastAsia" w:ascii="楷体" w:hAnsi="楷体" w:eastAsia="楷体" w:cs="楷体"/>
          <w:lang w:eastAsia="zh-CN"/>
        </w:rPr>
        <w:t>办理</w:t>
      </w:r>
      <w:r>
        <w:rPr>
          <w:rFonts w:hint="eastAsia" w:ascii="楷体" w:hAnsi="楷体" w:eastAsia="楷体" w:cs="楷体"/>
          <w:lang w:val="en-US" w:eastAsia="zh-CN"/>
        </w:rPr>
        <w:t>流程</w:t>
      </w:r>
      <w:r>
        <w:tab/>
      </w:r>
      <w:r>
        <w:fldChar w:fldCharType="begin"/>
      </w:r>
      <w:r>
        <w:instrText xml:space="preserve"> PAGEREF _Toc386 \h </w:instrText>
      </w:r>
      <w:r>
        <w:fldChar w:fldCharType="separate"/>
      </w:r>
      <w:r>
        <w:t>5</w:t>
      </w:r>
      <w:r>
        <w:fldChar w:fldCharType="end"/>
      </w:r>
    </w:p>
    <w:p w14:paraId="79DC169E">
      <w:pPr>
        <w:pStyle w:val="17"/>
        <w:tabs>
          <w:tab w:val="right" w:leader="dot" w:pos="8306"/>
        </w:tabs>
      </w:pPr>
      <w:r>
        <w:rPr>
          <w:rFonts w:hint="eastAsia" w:ascii="楷体" w:hAnsi="楷体" w:eastAsia="楷体" w:cs="楷体"/>
          <w:lang w:eastAsia="zh-CN"/>
        </w:rPr>
        <w:t>（一） 年检</w:t>
      </w:r>
      <w:r>
        <w:rPr>
          <w:rFonts w:hint="eastAsia" w:ascii="楷体" w:hAnsi="楷体" w:eastAsia="楷体" w:cs="楷体"/>
          <w:lang w:val="en-US" w:eastAsia="zh-CN"/>
        </w:rPr>
        <w:t>计划</w:t>
      </w:r>
      <w:r>
        <w:tab/>
      </w:r>
      <w:r>
        <w:fldChar w:fldCharType="begin"/>
      </w:r>
      <w:r>
        <w:instrText xml:space="preserve"> PAGEREF _Toc14056 \h </w:instrText>
      </w:r>
      <w:r>
        <w:fldChar w:fldCharType="separate"/>
      </w:r>
      <w:r>
        <w:t>5</w:t>
      </w:r>
      <w:r>
        <w:fldChar w:fldCharType="end"/>
      </w:r>
    </w:p>
    <w:p w14:paraId="43649AE9">
      <w:pPr>
        <w:pStyle w:val="17"/>
        <w:tabs>
          <w:tab w:val="right" w:leader="dot" w:pos="8306"/>
        </w:tabs>
      </w:pPr>
      <w:r>
        <w:rPr>
          <w:rFonts w:hint="eastAsia" w:ascii="楷体" w:hAnsi="楷体" w:eastAsia="楷体" w:cs="楷体"/>
          <w:lang w:eastAsia="zh-CN"/>
        </w:rPr>
        <w:t>（二） 年检</w:t>
      </w:r>
      <w:r>
        <w:rPr>
          <w:rFonts w:hint="eastAsia" w:ascii="楷体" w:hAnsi="楷体" w:eastAsia="楷体" w:cs="楷体"/>
          <w:lang w:val="en-US" w:eastAsia="zh-CN"/>
        </w:rPr>
        <w:t>名单</w:t>
      </w:r>
      <w:r>
        <w:tab/>
      </w:r>
      <w:r>
        <w:fldChar w:fldCharType="begin"/>
      </w:r>
      <w:r>
        <w:instrText xml:space="preserve"> PAGEREF _Toc19275 \h </w:instrText>
      </w:r>
      <w:r>
        <w:fldChar w:fldCharType="separate"/>
      </w:r>
      <w:r>
        <w:t>5</w:t>
      </w:r>
      <w:r>
        <w:fldChar w:fldCharType="end"/>
      </w:r>
    </w:p>
    <w:p w14:paraId="5F49D20C">
      <w:pPr>
        <w:pStyle w:val="17"/>
        <w:tabs>
          <w:tab w:val="right" w:leader="dot" w:pos="8306"/>
        </w:tabs>
      </w:pPr>
      <w:r>
        <w:rPr>
          <w:rFonts w:hint="eastAsia" w:ascii="楷体" w:hAnsi="楷体" w:eastAsia="楷体" w:cs="楷体"/>
          <w:lang w:eastAsia="zh-CN"/>
        </w:rPr>
        <w:t>（三） 党建初审</w:t>
      </w:r>
      <w:r>
        <w:tab/>
      </w:r>
      <w:r>
        <w:fldChar w:fldCharType="begin"/>
      </w:r>
      <w:r>
        <w:instrText xml:space="preserve"> PAGEREF _Toc19857 \h </w:instrText>
      </w:r>
      <w:r>
        <w:fldChar w:fldCharType="separate"/>
      </w:r>
      <w:r>
        <w:t>7</w:t>
      </w:r>
      <w:r>
        <w:fldChar w:fldCharType="end"/>
      </w:r>
    </w:p>
    <w:p w14:paraId="1ECE9AD4">
      <w:pPr>
        <w:pStyle w:val="17"/>
        <w:tabs>
          <w:tab w:val="right" w:leader="dot" w:pos="8306"/>
        </w:tabs>
      </w:pPr>
      <w:r>
        <w:rPr>
          <w:rFonts w:hint="eastAsia" w:ascii="楷体" w:hAnsi="楷体" w:eastAsia="楷体" w:cs="楷体"/>
          <w:lang w:eastAsia="zh-CN"/>
        </w:rPr>
        <w:t>（四） 年检审核</w:t>
      </w:r>
      <w:r>
        <w:tab/>
      </w:r>
      <w:r>
        <w:fldChar w:fldCharType="begin"/>
      </w:r>
      <w:r>
        <w:instrText xml:space="preserve"> PAGEREF _Toc12512 \h </w:instrText>
      </w:r>
      <w:r>
        <w:fldChar w:fldCharType="separate"/>
      </w:r>
      <w:r>
        <w:t>7</w:t>
      </w:r>
      <w:r>
        <w:fldChar w:fldCharType="end"/>
      </w:r>
    </w:p>
    <w:p w14:paraId="240D0AF6">
      <w:pPr>
        <w:pStyle w:val="17"/>
        <w:tabs>
          <w:tab w:val="right" w:leader="dot" w:pos="8306"/>
        </w:tabs>
      </w:pPr>
      <w:r>
        <w:rPr>
          <w:rFonts w:hint="eastAsia" w:ascii="楷体" w:hAnsi="楷体" w:eastAsia="楷体" w:cs="楷体"/>
          <w:lang w:eastAsia="zh-CN"/>
        </w:rPr>
        <w:t>（五） 年检审批</w:t>
      </w:r>
      <w:r>
        <w:tab/>
      </w:r>
      <w:r>
        <w:fldChar w:fldCharType="begin"/>
      </w:r>
      <w:r>
        <w:instrText xml:space="preserve"> PAGEREF _Toc3902 \h </w:instrText>
      </w:r>
      <w:r>
        <w:fldChar w:fldCharType="separate"/>
      </w:r>
      <w:r>
        <w:t>8</w:t>
      </w:r>
      <w:r>
        <w:fldChar w:fldCharType="end"/>
      </w:r>
    </w:p>
    <w:p w14:paraId="4397B3ED">
      <w:pPr>
        <w:pStyle w:val="17"/>
        <w:tabs>
          <w:tab w:val="right" w:leader="dot" w:pos="8306"/>
        </w:tabs>
      </w:pPr>
      <w:r>
        <w:rPr>
          <w:rFonts w:hint="eastAsia" w:ascii="楷体" w:hAnsi="楷体" w:eastAsia="楷体" w:cs="楷体"/>
          <w:lang w:eastAsia="zh-CN"/>
        </w:rPr>
        <w:t>（六） 年检查询</w:t>
      </w:r>
      <w:r>
        <w:tab/>
      </w:r>
      <w:r>
        <w:fldChar w:fldCharType="begin"/>
      </w:r>
      <w:r>
        <w:instrText xml:space="preserve"> PAGEREF _Toc18229 \h </w:instrText>
      </w:r>
      <w:r>
        <w:fldChar w:fldCharType="separate"/>
      </w:r>
      <w:r>
        <w:t>9</w:t>
      </w:r>
      <w:r>
        <w:fldChar w:fldCharType="end"/>
      </w:r>
    </w:p>
    <w:p w14:paraId="2D993568">
      <w:pPr>
        <w:pStyle w:val="17"/>
        <w:tabs>
          <w:tab w:val="right" w:leader="dot" w:pos="8306"/>
        </w:tabs>
      </w:pPr>
      <w:r>
        <w:rPr>
          <w:rFonts w:hint="eastAsia" w:ascii="楷体" w:hAnsi="楷体" w:eastAsia="楷体" w:cs="楷体"/>
          <w:lang w:val="en-US" w:eastAsia="zh-CN"/>
        </w:rPr>
        <w:t>（七） 年检统计</w:t>
      </w:r>
      <w:r>
        <w:tab/>
      </w:r>
      <w:r>
        <w:fldChar w:fldCharType="begin"/>
      </w:r>
      <w:r>
        <w:instrText xml:space="preserve"> PAGEREF _Toc8780 \h </w:instrText>
      </w:r>
      <w:r>
        <w:fldChar w:fldCharType="separate"/>
      </w:r>
      <w:r>
        <w:t>9</w:t>
      </w:r>
      <w:r>
        <w:fldChar w:fldCharType="end"/>
      </w:r>
    </w:p>
    <w:p w14:paraId="25F6CA0E">
      <w:pPr>
        <w:pStyle w:val="17"/>
        <w:tabs>
          <w:tab w:val="right" w:leader="dot" w:pos="8306"/>
        </w:tabs>
      </w:pPr>
      <w:r>
        <w:rPr>
          <w:rFonts w:hint="eastAsia" w:ascii="楷体" w:hAnsi="楷体" w:eastAsia="楷体" w:cs="楷体"/>
          <w:lang w:val="en-US" w:eastAsia="zh-CN"/>
        </w:rPr>
        <w:t>（八） 年检公示</w:t>
      </w:r>
      <w:r>
        <w:tab/>
      </w:r>
      <w:r>
        <w:fldChar w:fldCharType="begin"/>
      </w:r>
      <w:r>
        <w:instrText xml:space="preserve"> PAGEREF _Toc21378 \h </w:instrText>
      </w:r>
      <w:r>
        <w:fldChar w:fldCharType="separate"/>
      </w:r>
      <w:r>
        <w:t>10</w:t>
      </w:r>
      <w:r>
        <w:fldChar w:fldCharType="end"/>
      </w:r>
    </w:p>
    <w:p w14:paraId="07DFFAD6">
      <w:pPr>
        <w:pStyle w:val="16"/>
        <w:tabs>
          <w:tab w:val="right" w:leader="dot" w:pos="8306"/>
        </w:tabs>
      </w:pPr>
      <w:r>
        <w:rPr>
          <w:rFonts w:hint="eastAsia" w:ascii="楷体" w:hAnsi="楷体" w:eastAsia="楷体" w:cs="楷体"/>
          <w:lang w:eastAsia="zh-CN"/>
        </w:rPr>
        <w:t>四、 系统用户管理</w:t>
      </w:r>
      <w:r>
        <w:tab/>
      </w:r>
      <w:r>
        <w:fldChar w:fldCharType="begin"/>
      </w:r>
      <w:r>
        <w:instrText xml:space="preserve"> PAGEREF _Toc22045 \h </w:instrText>
      </w:r>
      <w:r>
        <w:fldChar w:fldCharType="separate"/>
      </w:r>
      <w:r>
        <w:t>10</w:t>
      </w:r>
      <w:r>
        <w:fldChar w:fldCharType="end"/>
      </w:r>
    </w:p>
    <w:p w14:paraId="12930A6A">
      <w:pPr>
        <w:pStyle w:val="16"/>
        <w:tabs>
          <w:tab w:val="right" w:leader="dot" w:pos="8306"/>
        </w:tabs>
      </w:pPr>
      <w:r>
        <w:rPr>
          <w:rFonts w:hint="eastAsia" w:ascii="楷体" w:hAnsi="楷体" w:eastAsia="楷体" w:cs="楷体"/>
          <w:lang w:val="en-US" w:eastAsia="zh-CN"/>
        </w:rPr>
        <w:t>五、 在线客服</w:t>
      </w:r>
      <w:r>
        <w:tab/>
      </w:r>
      <w:r>
        <w:fldChar w:fldCharType="begin"/>
      </w:r>
      <w:r>
        <w:instrText xml:space="preserve"> PAGEREF _Toc12934 \h </w:instrText>
      </w:r>
      <w:r>
        <w:fldChar w:fldCharType="separate"/>
      </w:r>
      <w:r>
        <w:t>11</w:t>
      </w:r>
      <w:r>
        <w:fldChar w:fldCharType="end"/>
      </w:r>
    </w:p>
    <w:p w14:paraId="418C360B">
      <w:pPr>
        <w:bidi w:val="0"/>
        <w:jc w:val="center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fldChar w:fldCharType="end"/>
      </w:r>
    </w:p>
    <w:p w14:paraId="4361CBD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5E259DD">
      <w:pPr>
        <w:pStyle w:val="4"/>
        <w:bidi w:val="0"/>
        <w:rPr>
          <w:rFonts w:hint="eastAsia" w:ascii="楷体" w:hAnsi="楷体" w:eastAsia="楷体" w:cs="楷体"/>
          <w:lang w:eastAsia="zh-CN"/>
        </w:rPr>
      </w:pPr>
      <w:bookmarkStart w:id="16" w:name="_Toc7178"/>
      <w:r>
        <w:rPr>
          <w:rFonts w:hint="eastAsia" w:ascii="楷体" w:hAnsi="楷体" w:eastAsia="楷体" w:cs="楷体"/>
          <w:lang w:eastAsia="zh-CN"/>
        </w:rPr>
        <w:t>系统访问</w:t>
      </w:r>
      <w:bookmarkEnd w:id="16"/>
    </w:p>
    <w:p w14:paraId="68D3E248">
      <w:pPr>
        <w:pStyle w:val="5"/>
        <w:bidi w:val="0"/>
        <w:rPr>
          <w:rFonts w:hint="eastAsia" w:ascii="楷体" w:hAnsi="楷体" w:eastAsia="楷体" w:cs="楷体"/>
          <w:lang w:val="en-US" w:eastAsia="zh-CN"/>
        </w:rPr>
      </w:pPr>
      <w:bookmarkStart w:id="17" w:name="_Toc28329"/>
      <w:r>
        <w:rPr>
          <w:rFonts w:hint="eastAsia" w:ascii="楷体" w:hAnsi="楷体" w:eastAsia="楷体" w:cs="楷体"/>
          <w:lang w:val="en-US" w:eastAsia="zh-CN"/>
        </w:rPr>
        <w:t>VPN安装</w:t>
      </w:r>
      <w:bookmarkEnd w:id="17"/>
    </w:p>
    <w:p w14:paraId="0A3B9173">
      <w:pPr>
        <w:pStyle w:val="13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b/>
          <w:bCs/>
          <w:lang w:val="en-US" w:eastAsia="zh-CN"/>
        </w:rPr>
        <w:t>（注：VPN安装，建议用户电脑使用Windows7操作系统）</w:t>
      </w:r>
    </w:p>
    <w:p w14:paraId="6FE9970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288" w:lineRule="auto"/>
        <w:ind w:right="584"/>
        <w:textAlignment w:val="auto"/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  <w:t>1.双击VPN 独立客户端安装包，并安装。</w:t>
      </w:r>
    </w:p>
    <w:p w14:paraId="389B8EB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line="288" w:lineRule="auto"/>
        <w:textAlignment w:val="auto"/>
        <w:rPr>
          <w:rFonts w:hint="eastAsia" w:ascii="楷体" w:hAnsi="楷体" w:eastAsia="楷体" w:cs="楷体"/>
          <w:w w:val="99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w w:val="99"/>
          <w:sz w:val="24"/>
          <w:szCs w:val="24"/>
          <w:lang w:val="en-US" w:eastAsia="zh-CN"/>
        </w:rPr>
        <w:t>2.</w:t>
      </w:r>
      <w:r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  <w:t>在桌面上双击安装后的图标’SV 独立客户端’</w:t>
      </w:r>
      <w:r>
        <w:rPr>
          <w:rFonts w:hint="eastAsia" w:ascii="楷体" w:hAnsi="楷体" w:eastAsia="楷体" w:cs="楷体"/>
        </w:rPr>
        <w:drawing>
          <wp:inline distT="0" distB="0" distL="114300" distR="114300">
            <wp:extent cx="346710" cy="408940"/>
            <wp:effectExtent l="12700" t="12700" r="2159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089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w w:val="99"/>
          <w:sz w:val="24"/>
          <w:szCs w:val="24"/>
          <w:lang w:val="en-US" w:eastAsia="zh-CN"/>
        </w:rPr>
        <w:t>。</w:t>
      </w:r>
    </w:p>
    <w:p w14:paraId="19FDD18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line="288" w:lineRule="auto"/>
        <w:textAlignment w:val="auto"/>
        <w:rPr>
          <w:rFonts w:hint="eastAsia" w:ascii="楷体" w:hAnsi="楷体" w:eastAsia="楷体" w:cs="楷体"/>
          <w:w w:val="110"/>
          <w:sz w:val="24"/>
          <w:szCs w:val="24"/>
        </w:rPr>
      </w:pPr>
      <w:r>
        <w:rPr>
          <w:rFonts w:hint="eastAsia" w:ascii="楷体" w:hAnsi="楷体" w:eastAsia="楷体" w:cs="楷体"/>
          <w:w w:val="99"/>
          <w:sz w:val="24"/>
          <w:szCs w:val="24"/>
          <w:lang w:val="en-US" w:eastAsia="zh-CN"/>
        </w:rPr>
        <w:t>3.</w:t>
      </w:r>
      <w:r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  <w:t>在弹出的界面单击’新建连接’按钮，如下图：</w:t>
      </w:r>
    </w:p>
    <w:p w14:paraId="6726DEC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line="288" w:lineRule="auto"/>
        <w:ind w:left="800" w:leftChars="200" w:hanging="320" w:hangingChars="100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2670810</wp:posOffset>
            </wp:positionH>
            <wp:positionV relativeFrom="paragraph">
              <wp:posOffset>557530</wp:posOffset>
            </wp:positionV>
            <wp:extent cx="2018665" cy="2522220"/>
            <wp:effectExtent l="12700" t="12700" r="26035" b="1778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5222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w w:val="99"/>
          <w:sz w:val="24"/>
          <w:szCs w:val="24"/>
          <w:lang w:val="en-US" w:eastAsia="zh-CN"/>
        </w:rPr>
        <w:t>4.</w:t>
      </w:r>
      <w:r>
        <w:rPr>
          <w:rFonts w:hint="eastAsia" w:ascii="楷体" w:hAnsi="楷体" w:eastAsia="楷体" w:cs="楷体"/>
          <w:sz w:val="24"/>
          <w:szCs w:val="24"/>
        </w:rPr>
        <w:t>在弹出的输入框的地址栏填入：113.140.27.12确定。端口是默认数值不要更改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z w:val="24"/>
          <w:szCs w:val="24"/>
        </w:rPr>
        <w:t>确定后返回登陆界面。如下图：</w:t>
      </w:r>
    </w:p>
    <w:p w14:paraId="57BBCC83">
      <w:pPr>
        <w:jc w:val="both"/>
        <w:rPr>
          <w:rFonts w:hint="eastAsia"/>
          <w:sz w:val="20"/>
          <w:lang w:val="en-US" w:eastAsia="zh-CN"/>
        </w:rPr>
      </w:pPr>
      <w:r>
        <w:rPr>
          <w:rFonts w:hint="eastAsia"/>
          <w:sz w:val="20"/>
          <w:lang w:val="en-US" w:eastAsia="zh-CN"/>
        </w:rPr>
        <w:t xml:space="preserve">                   </w:t>
      </w:r>
      <w:r>
        <w:rPr>
          <w:sz w:val="20"/>
        </w:rPr>
        <w:drawing>
          <wp:inline distT="0" distB="0" distL="0" distR="0">
            <wp:extent cx="2102485" cy="2604770"/>
            <wp:effectExtent l="12700" t="12700" r="18415" b="3048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6047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F9C72B">
      <w:pPr>
        <w:pStyle w:val="5"/>
        <w:bidi w:val="0"/>
        <w:rPr>
          <w:rFonts w:hint="eastAsia" w:ascii="楷体" w:hAnsi="楷体" w:eastAsia="楷体" w:cs="楷体"/>
          <w:lang w:val="en-US" w:eastAsia="zh-CN"/>
        </w:rPr>
      </w:pPr>
      <w:bookmarkStart w:id="18" w:name="_Toc25541"/>
      <w:r>
        <w:rPr>
          <w:rFonts w:hint="eastAsia" w:ascii="楷体" w:hAnsi="楷体" w:eastAsia="楷体" w:cs="楷体"/>
          <w:lang w:val="en-US" w:eastAsia="zh-CN"/>
        </w:rPr>
        <w:t>VPN登录</w:t>
      </w:r>
      <w:bookmarkEnd w:id="18"/>
    </w:p>
    <w:p w14:paraId="76B95DA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line="288" w:lineRule="auto"/>
        <w:ind w:right="465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在用户名称和登陆密码处输入分配给本地的 VPN 账号和密码（注意：不是法人库账号密</w:t>
      </w:r>
      <w:r>
        <w:rPr>
          <w:rFonts w:hint="eastAsia" w:ascii="楷体" w:hAnsi="楷体" w:eastAsia="楷体" w:cs="楷体"/>
          <w:spacing w:val="2"/>
          <w:w w:val="99"/>
          <w:sz w:val="24"/>
          <w:szCs w:val="24"/>
        </w:rPr>
        <w:t>码</w:t>
      </w:r>
      <w:r>
        <w:rPr>
          <w:rFonts w:hint="eastAsia" w:ascii="楷体" w:hAnsi="楷体" w:eastAsia="楷体" w:cs="楷体"/>
          <w:spacing w:val="-161"/>
          <w:w w:val="99"/>
          <w:sz w:val="24"/>
          <w:szCs w:val="24"/>
        </w:rPr>
        <w:t>）</w:t>
      </w:r>
      <w:r>
        <w:rPr>
          <w:rFonts w:hint="eastAsia" w:ascii="楷体" w:hAnsi="楷体" w:eastAsia="楷体" w:cs="楷体"/>
          <w:w w:val="99"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w w:val="99"/>
          <w:sz w:val="24"/>
          <w:szCs w:val="24"/>
        </w:rPr>
        <w:t>并点击</w:t>
      </w:r>
      <w:r>
        <w:rPr>
          <w:rFonts w:hint="eastAsia" w:ascii="楷体" w:hAnsi="楷体" w:eastAsia="楷体" w:cs="楷体"/>
          <w:spacing w:val="1"/>
          <w:w w:val="99"/>
          <w:sz w:val="24"/>
          <w:szCs w:val="24"/>
          <w:lang w:eastAsia="zh-CN"/>
        </w:rPr>
        <w:t>“</w:t>
      </w:r>
      <w:r>
        <w:rPr>
          <w:rFonts w:hint="eastAsia" w:ascii="楷体" w:hAnsi="楷体" w:eastAsia="楷体" w:cs="楷体"/>
          <w:spacing w:val="1"/>
          <w:w w:val="99"/>
          <w:sz w:val="24"/>
          <w:szCs w:val="24"/>
        </w:rPr>
        <w:t>连接</w:t>
      </w:r>
      <w:r>
        <w:rPr>
          <w:rFonts w:hint="eastAsia" w:ascii="楷体" w:hAnsi="楷体" w:eastAsia="楷体" w:cs="楷体"/>
          <w:spacing w:val="1"/>
          <w:w w:val="99"/>
          <w:sz w:val="24"/>
          <w:szCs w:val="24"/>
          <w:lang w:eastAsia="zh-CN"/>
        </w:rPr>
        <w:t>”</w:t>
      </w:r>
      <w:r>
        <w:rPr>
          <w:rFonts w:hint="eastAsia" w:ascii="楷体" w:hAnsi="楷体" w:eastAsia="楷体" w:cs="楷体"/>
          <w:spacing w:val="-16"/>
          <w:w w:val="99"/>
          <w:sz w:val="24"/>
          <w:szCs w:val="24"/>
        </w:rPr>
        <w:t>按钮，等待连接成功。</w:t>
      </w:r>
      <w:r>
        <w:rPr>
          <w:rFonts w:hint="eastAsia" w:ascii="楷体" w:hAnsi="楷体" w:eastAsia="楷体" w:cs="楷体"/>
          <w:spacing w:val="2"/>
          <w:w w:val="99"/>
          <w:sz w:val="24"/>
          <w:szCs w:val="24"/>
        </w:rPr>
        <w:t>（</w:t>
      </w:r>
      <w:r>
        <w:rPr>
          <w:rFonts w:hint="eastAsia" w:ascii="楷体" w:hAnsi="楷体" w:eastAsia="楷体" w:cs="楷体"/>
          <w:w w:val="99"/>
          <w:sz w:val="24"/>
          <w:szCs w:val="24"/>
        </w:rPr>
        <w:t>电脑右下角</w:t>
      </w:r>
      <w:r>
        <w:rPr>
          <w:rFonts w:hint="eastAsia" w:ascii="楷体" w:hAnsi="楷体" w:eastAsia="楷体" w:cs="楷体"/>
          <w:sz w:val="24"/>
          <w:szCs w:val="24"/>
        </w:rPr>
        <w:t>图标上的×消失即表示连接成功）</w:t>
      </w:r>
    </w:p>
    <w:p w14:paraId="7AEB31FA">
      <w:pPr>
        <w:pStyle w:val="3"/>
        <w:spacing w:before="50" w:line="386" w:lineRule="auto"/>
        <w:ind w:right="463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2611755</wp:posOffset>
            </wp:positionH>
            <wp:positionV relativeFrom="paragraph">
              <wp:posOffset>119380</wp:posOffset>
            </wp:positionV>
            <wp:extent cx="2494915" cy="2240280"/>
            <wp:effectExtent l="12700" t="12700" r="26035" b="1397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2402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0" distR="0">
            <wp:extent cx="322580" cy="313690"/>
            <wp:effectExtent l="12700" t="12700" r="26670" b="1651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1394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w w:val="95"/>
          <w:sz w:val="24"/>
          <w:szCs w:val="24"/>
        </w:rPr>
        <w:t>表示未连接成功</w:t>
      </w:r>
      <w:r>
        <w:rPr>
          <w:rFonts w:hint="eastAsia" w:ascii="楷体" w:hAnsi="楷体" w:eastAsia="楷体" w:cs="楷体"/>
          <w:w w:val="95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0" distR="0">
            <wp:extent cx="304800" cy="313690"/>
            <wp:effectExtent l="12700" t="12700" r="25400" b="1651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394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24"/>
          <w:szCs w:val="24"/>
        </w:rPr>
        <w:t>表示连接成功</w:t>
      </w:r>
    </w:p>
    <w:p w14:paraId="4BAB34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960" w:firstLineChars="400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新用户VPN账号申请，请联系客服。</w:t>
      </w:r>
    </w:p>
    <w:p w14:paraId="4D3C64AA">
      <w:pPr>
        <w:pStyle w:val="5"/>
        <w:bidi w:val="0"/>
        <w:rPr>
          <w:rFonts w:hint="eastAsia" w:ascii="楷体" w:hAnsi="楷体" w:eastAsia="楷体" w:cs="楷体"/>
          <w:lang w:val="en-US" w:eastAsia="zh-CN"/>
        </w:rPr>
      </w:pPr>
      <w:bookmarkStart w:id="19" w:name="_Toc888"/>
      <w:r>
        <w:rPr>
          <w:rFonts w:hint="eastAsia" w:ascii="楷体" w:hAnsi="楷体" w:eastAsia="楷体" w:cs="楷体"/>
          <w:lang w:val="en-US" w:eastAsia="zh-CN"/>
        </w:rPr>
        <w:t>系统访问地址</w:t>
      </w:r>
      <w:bookmarkEnd w:id="19"/>
    </w:p>
    <w:p w14:paraId="34CEA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用户必须先成功连接了民政VPN。年检业务管理访问地址：</w:t>
      </w:r>
    </w:p>
    <w:p w14:paraId="2F14518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楷体" w:hAnsi="楷体" w:eastAsia="楷体" w:cs="楷体"/>
          <w:color w:val="auto"/>
          <w:u w:val="none"/>
          <w:lang w:eastAsia="zh-CN"/>
        </w:rPr>
      </w:pPr>
      <w:r>
        <w:rPr>
          <w:rFonts w:hint="eastAsia" w:ascii="楷体" w:hAnsi="楷体" w:eastAsia="楷体" w:cs="楷体"/>
          <w:color w:val="auto"/>
          <w:u w:val="none"/>
          <w:lang w:eastAsia="zh-CN"/>
        </w:rPr>
        <w:fldChar w:fldCharType="begin"/>
      </w:r>
      <w:r>
        <w:rPr>
          <w:rFonts w:hint="eastAsia" w:ascii="楷体" w:hAnsi="楷体" w:eastAsia="楷体" w:cs="楷体"/>
          <w:color w:val="auto"/>
          <w:u w:val="none"/>
          <w:lang w:eastAsia="zh-CN"/>
        </w:rPr>
        <w:instrText xml:space="preserve"> HYPERLINK "http://172.17.8.3/" </w:instrText>
      </w:r>
      <w:r>
        <w:rPr>
          <w:rFonts w:hint="eastAsia" w:ascii="楷体" w:hAnsi="楷体" w:eastAsia="楷体" w:cs="楷体"/>
          <w:color w:val="auto"/>
          <w:u w:val="none"/>
          <w:lang w:eastAsia="zh-CN"/>
        </w:rPr>
        <w:fldChar w:fldCharType="separate"/>
      </w:r>
      <w:r>
        <w:rPr>
          <w:rStyle w:val="21"/>
          <w:rFonts w:hint="eastAsia" w:ascii="楷体" w:hAnsi="楷体" w:eastAsia="楷体" w:cs="楷体"/>
          <w:lang w:eastAsia="zh-CN"/>
        </w:rPr>
        <w:t>http://</w:t>
      </w:r>
      <w:r>
        <w:rPr>
          <w:rStyle w:val="21"/>
          <w:rFonts w:hint="eastAsia" w:ascii="楷体" w:hAnsi="楷体" w:eastAsia="楷体" w:cs="楷体"/>
          <w:lang w:val="en-US" w:eastAsia="zh-CN"/>
        </w:rPr>
        <w:t>172.17.8.3</w:t>
      </w:r>
      <w:r>
        <w:rPr>
          <w:rStyle w:val="21"/>
          <w:rFonts w:hint="eastAsia" w:ascii="楷体" w:hAnsi="楷体" w:eastAsia="楷体" w:cs="楷体"/>
          <w:lang w:eastAsia="zh-CN"/>
        </w:rPr>
        <w:t>/</w:t>
      </w:r>
      <w:r>
        <w:rPr>
          <w:rFonts w:hint="eastAsia" w:ascii="楷体" w:hAnsi="楷体" w:eastAsia="楷体" w:cs="楷体"/>
          <w:color w:val="auto"/>
          <w:u w:val="none"/>
          <w:lang w:eastAsia="zh-CN"/>
        </w:rPr>
        <w:fldChar w:fldCharType="end"/>
      </w:r>
    </w:p>
    <w:p w14:paraId="54F97211">
      <w:pPr>
        <w:pStyle w:val="4"/>
        <w:bidi w:val="0"/>
        <w:rPr>
          <w:rFonts w:hint="eastAsia" w:ascii="楷体" w:hAnsi="楷体" w:eastAsia="楷体" w:cs="楷体"/>
          <w:lang w:eastAsia="zh-CN"/>
        </w:rPr>
      </w:pPr>
      <w:bookmarkStart w:id="20" w:name="_Toc5501"/>
      <w:r>
        <w:rPr>
          <w:rFonts w:hint="eastAsia" w:ascii="楷体" w:hAnsi="楷体" w:eastAsia="楷体" w:cs="楷体"/>
          <w:lang w:eastAsia="zh-CN"/>
        </w:rPr>
        <w:t>用户登录</w:t>
      </w:r>
      <w:bookmarkEnd w:id="20"/>
    </w:p>
    <w:p w14:paraId="31F143B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系统管理用户登录，如下图：</w:t>
      </w:r>
    </w:p>
    <w:p w14:paraId="15440B3C">
      <w:pPr>
        <w:pStyle w:val="1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36870" cy="2705100"/>
            <wp:effectExtent l="12700" t="12700" r="17780" b="254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2705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E6BEA6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420" w:firstLineChars="0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管理用户的初始登录账号格式统一为「地区名 + 民政局」，示例：西安市民政局、周至县民政局。</w:t>
      </w:r>
    </w:p>
    <w:p w14:paraId="1A238FB6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420" w:firstLineChars="0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若往年已参与过年检，登录密码将保持不变；首次登录的新用户，请关注「天盟云服」微信公众号，联系客服获取密码。</w:t>
      </w:r>
    </w:p>
    <w:p w14:paraId="6BAEC84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420" w:firstLineChars="0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b/>
          <w:bCs/>
          <w:lang w:val="en-US" w:eastAsia="zh-CN"/>
        </w:rPr>
        <w:t>注：</w:t>
      </w:r>
      <w:r>
        <w:rPr>
          <w:rFonts w:hint="eastAsia" w:ascii="楷体" w:hAnsi="楷体" w:eastAsia="楷体" w:cs="楷体"/>
          <w:lang w:val="en-US" w:eastAsia="zh-CN"/>
        </w:rPr>
        <w:t>建议使用360浏览器、QQ浏览器、搜狗浏览器的极速模式、谷歌浏览器或者火狐浏览器登录系统。</w:t>
      </w:r>
      <w:r>
        <w:rPr>
          <w:rFonts w:hint="eastAsia" w:ascii="楷体" w:hAnsi="楷体" w:eastAsia="楷体" w:cs="楷体"/>
        </w:rPr>
        <w:t>推荐使用IE</w:t>
      </w:r>
      <w:r>
        <w:rPr>
          <w:rFonts w:hint="eastAsia" w:ascii="楷体" w:hAnsi="楷体" w:eastAsia="楷体" w:cs="楷体"/>
          <w:lang w:val="en-US" w:eastAsia="zh-CN"/>
        </w:rPr>
        <w:t>10</w:t>
      </w:r>
      <w:r>
        <w:rPr>
          <w:rFonts w:hint="eastAsia" w:ascii="楷体" w:hAnsi="楷体" w:eastAsia="楷体" w:cs="楷体"/>
        </w:rPr>
        <w:t>.0</w:t>
      </w:r>
      <w:r>
        <w:rPr>
          <w:rFonts w:hint="eastAsia" w:ascii="楷体" w:hAnsi="楷体" w:eastAsia="楷体" w:cs="楷体"/>
          <w:lang w:eastAsia="zh-CN"/>
        </w:rPr>
        <w:t>及</w:t>
      </w:r>
      <w:r>
        <w:rPr>
          <w:rFonts w:hint="eastAsia" w:ascii="楷体" w:hAnsi="楷体" w:eastAsia="楷体" w:cs="楷体"/>
        </w:rPr>
        <w:t>以上版本</w:t>
      </w:r>
      <w:r>
        <w:rPr>
          <w:rFonts w:hint="eastAsia" w:ascii="楷体" w:hAnsi="楷体" w:eastAsia="楷体" w:cs="楷体"/>
          <w:lang w:eastAsia="zh-CN"/>
        </w:rPr>
        <w:t>。</w:t>
      </w:r>
    </w:p>
    <w:p w14:paraId="4F2908C9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480" w:firstLineChars="200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用户进入登录系统后，需要进行密码修改操作，如下图：</w:t>
      </w:r>
    </w:p>
    <w:p w14:paraId="7FDBC423">
      <w:pPr>
        <w:pStyle w:val="13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55260" cy="477520"/>
            <wp:effectExtent l="0" t="0" r="2540" b="177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D60E1">
      <w:pPr>
        <w:pStyle w:val="4"/>
        <w:bidi w:val="0"/>
        <w:rPr>
          <w:rFonts w:hint="eastAsia" w:ascii="楷体" w:hAnsi="楷体" w:eastAsia="楷体" w:cs="楷体"/>
          <w:lang w:eastAsia="zh-CN"/>
        </w:rPr>
      </w:pPr>
      <w:bookmarkStart w:id="21" w:name="_Toc386"/>
      <w:r>
        <w:rPr>
          <w:rFonts w:hint="eastAsia" w:ascii="楷体" w:hAnsi="楷体" w:eastAsia="楷体" w:cs="楷体"/>
          <w:lang w:val="en-US" w:eastAsia="zh-CN"/>
        </w:rPr>
        <w:t>年检</w:t>
      </w:r>
      <w:r>
        <w:rPr>
          <w:rFonts w:hint="eastAsia" w:ascii="楷体" w:hAnsi="楷体" w:eastAsia="楷体" w:cs="楷体"/>
          <w:lang w:eastAsia="zh-CN"/>
        </w:rPr>
        <w:t>办理</w:t>
      </w:r>
      <w:r>
        <w:rPr>
          <w:rFonts w:hint="eastAsia" w:ascii="楷体" w:hAnsi="楷体" w:eastAsia="楷体" w:cs="楷体"/>
          <w:lang w:val="en-US" w:eastAsia="zh-CN"/>
        </w:rPr>
        <w:t>流程</w:t>
      </w:r>
      <w:bookmarkEnd w:id="21"/>
    </w:p>
    <w:p w14:paraId="386DF296">
      <w:pPr>
        <w:pStyle w:val="5"/>
        <w:numPr>
          <w:ilvl w:val="1"/>
          <w:numId w:val="2"/>
        </w:numPr>
        <w:bidi w:val="0"/>
        <w:rPr>
          <w:rFonts w:hint="eastAsia" w:ascii="楷体" w:hAnsi="楷体" w:eastAsia="楷体" w:cs="楷体"/>
          <w:lang w:eastAsia="zh-CN"/>
        </w:rPr>
      </w:pPr>
      <w:bookmarkStart w:id="22" w:name="_Toc14056"/>
      <w:r>
        <w:rPr>
          <w:rFonts w:hint="eastAsia" w:ascii="楷体" w:hAnsi="楷体" w:eastAsia="楷体" w:cs="楷体"/>
          <w:lang w:eastAsia="zh-CN"/>
        </w:rPr>
        <w:t>年检</w:t>
      </w:r>
      <w:r>
        <w:rPr>
          <w:rFonts w:hint="eastAsia" w:ascii="楷体" w:hAnsi="楷体" w:eastAsia="楷体" w:cs="楷体"/>
          <w:lang w:val="en-US" w:eastAsia="zh-CN"/>
        </w:rPr>
        <w:t>计划</w:t>
      </w:r>
      <w:bookmarkEnd w:id="22"/>
    </w:p>
    <w:p w14:paraId="164B3866">
      <w:pPr>
        <w:ind w:left="0" w:leftChars="0" w:firstLine="241" w:firstLineChars="100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b/>
          <w:bCs/>
          <w:lang w:eastAsia="zh-CN"/>
        </w:rPr>
        <w:t>第一步：</w:t>
      </w:r>
      <w:r>
        <w:rPr>
          <w:rFonts w:hint="eastAsia" w:ascii="楷体" w:hAnsi="楷体" w:eastAsia="楷体" w:cs="楷体"/>
          <w:lang w:eastAsia="zh-CN"/>
        </w:rPr>
        <w:t>需要设置年检计划，说明开始日期和结束日期。</w:t>
      </w:r>
    </w:p>
    <w:p w14:paraId="77EF5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51450" cy="1301115"/>
            <wp:effectExtent l="0" t="0" r="6350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617345"/>
            <wp:effectExtent l="0" t="0" r="12700" b="19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BC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点击“新增”按钮添加年检计划，添加成功后，即可对该计划进行“修改”“删除”操作。</w:t>
      </w:r>
    </w:p>
    <w:p w14:paraId="46955243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点击“关闭”后，社会组织系统同步关闭“组织年检”模块，同时可筛选查询往年“年检”信息。</w:t>
      </w:r>
    </w:p>
    <w:p w14:paraId="5CA15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480" w:firstLineChars="200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注：同一地区、同一年度、同一类别的年检计划只能有一条。</w:t>
      </w:r>
    </w:p>
    <w:p w14:paraId="146BF2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系统显示本级及所属下级的所有年检计划信息。</w:t>
      </w:r>
    </w:p>
    <w:p w14:paraId="02DF17DE">
      <w:pPr>
        <w:pStyle w:val="5"/>
        <w:numPr>
          <w:ilvl w:val="1"/>
          <w:numId w:val="2"/>
        </w:numPr>
        <w:bidi w:val="0"/>
        <w:rPr>
          <w:rFonts w:hint="eastAsia" w:ascii="楷体" w:hAnsi="楷体" w:eastAsia="楷体" w:cs="楷体"/>
          <w:lang w:eastAsia="zh-CN"/>
        </w:rPr>
      </w:pPr>
      <w:bookmarkStart w:id="23" w:name="_Toc19275"/>
      <w:r>
        <w:rPr>
          <w:rFonts w:hint="eastAsia" w:ascii="楷体" w:hAnsi="楷体" w:eastAsia="楷体" w:cs="楷体"/>
          <w:lang w:eastAsia="zh-CN"/>
        </w:rPr>
        <w:t>年检</w:t>
      </w:r>
      <w:r>
        <w:rPr>
          <w:rFonts w:hint="eastAsia" w:ascii="楷体" w:hAnsi="楷体" w:eastAsia="楷体" w:cs="楷体"/>
          <w:lang w:val="en-US" w:eastAsia="zh-CN"/>
        </w:rPr>
        <w:t>名单</w:t>
      </w:r>
      <w:bookmarkEnd w:id="23"/>
    </w:p>
    <w:p w14:paraId="70A985DA"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b/>
          <w:bCs/>
          <w:lang w:eastAsia="zh-CN"/>
        </w:rPr>
        <w:t>第二步：</w:t>
      </w:r>
      <w:r>
        <w:rPr>
          <w:rFonts w:hint="eastAsia" w:ascii="楷体" w:hAnsi="楷体" w:eastAsia="楷体" w:cs="楷体"/>
          <w:lang w:eastAsia="zh-CN"/>
        </w:rPr>
        <w:t>增加本年度</w:t>
      </w:r>
      <w:r>
        <w:rPr>
          <w:rFonts w:hint="eastAsia" w:ascii="楷体" w:hAnsi="楷体" w:eastAsia="楷体" w:cs="楷体"/>
          <w:lang w:val="en-US" w:eastAsia="zh-CN"/>
        </w:rPr>
        <w:t>本级</w:t>
      </w:r>
      <w:r>
        <w:rPr>
          <w:rFonts w:hint="eastAsia" w:ascii="楷体" w:hAnsi="楷体" w:eastAsia="楷体" w:cs="楷体"/>
          <w:lang w:eastAsia="zh-CN"/>
        </w:rPr>
        <w:t>需要年检</w:t>
      </w:r>
      <w:r>
        <w:rPr>
          <w:rFonts w:hint="eastAsia" w:ascii="楷体" w:hAnsi="楷体" w:eastAsia="楷体" w:cs="楷体"/>
          <w:lang w:val="en-US" w:eastAsia="zh-CN"/>
        </w:rPr>
        <w:t>的社会组织名单。只有加入到名单的组织才能提交年检内容。</w:t>
      </w:r>
    </w:p>
    <w:p w14:paraId="1514CC0E">
      <w:pPr>
        <w:pStyle w:val="22"/>
        <w:spacing w:line="240" w:lineRule="auto"/>
        <w:ind w:firstLine="0" w:firstLineChars="0"/>
      </w:pPr>
      <w:r>
        <w:drawing>
          <wp:inline distT="0" distB="0" distL="114300" distR="114300">
            <wp:extent cx="5260340" cy="1384935"/>
            <wp:effectExtent l="0" t="0" r="16510" b="57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A350">
      <w:pPr>
        <w:ind w:left="0" w:leftChars="0" w:firstLine="0" w:firstLineChars="0"/>
      </w:pPr>
      <w:r>
        <w:drawing>
          <wp:inline distT="0" distB="0" distL="114300" distR="114300">
            <wp:extent cx="5271770" cy="1340485"/>
            <wp:effectExtent l="0" t="0" r="5080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2167C">
      <w:pPr>
        <w:pStyle w:val="2"/>
        <w:ind w:left="0" w:leftChars="0"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选择本年度需年检的社会组织，点击“选择勾选组织加入名单”按钮。列表显示本级管理的所有社会组织，可使用查询条件查询需要年检的组织，可以勾选中“全部加入”年检名单。</w:t>
      </w:r>
    </w:p>
    <w:p w14:paraId="7AFB0263">
      <w:pPr>
        <w:pStyle w:val="22"/>
        <w:spacing w:line="240" w:lineRule="auto"/>
        <w:ind w:firstLine="0" w:firstLineChars="0"/>
      </w:pPr>
      <w:r>
        <w:drawing>
          <wp:inline distT="0" distB="0" distL="114300" distR="114300">
            <wp:extent cx="5266690" cy="1736090"/>
            <wp:effectExtent l="0" t="0" r="10160" b="1651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E08E1"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color w:val="000000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000000"/>
          <w:highlight w:val="none"/>
          <w:lang w:val="en-US" w:eastAsia="zh-CN"/>
        </w:rPr>
        <w:t>若需党建部门对社会组织进行初步审核，点击“加入党建初审名单维护”维护即可。</w:t>
      </w:r>
    </w:p>
    <w:p w14:paraId="771A94F2"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color w:val="000000"/>
          <w:highlight w:val="none"/>
          <w:lang w:val="en-US" w:eastAsia="zh-CN"/>
        </w:rPr>
        <w:t>若党建部门只审核无业务主管单位或直接登记的社会组织的信息，将这部分组织名单加入到党建初审名单里，后期党建初审时，只显示无业务主管单位或直接登记的社会组织名单。如有业务主管单位，直接可进行年检审核。（</w:t>
      </w:r>
      <w:r>
        <w:rPr>
          <w:rFonts w:hint="eastAsia" w:ascii="楷体" w:hAnsi="楷体" w:eastAsia="楷体" w:cs="楷体"/>
          <w:b/>
          <w:bCs/>
          <w:color w:val="000000"/>
          <w:highlight w:val="none"/>
          <w:lang w:val="en-US" w:eastAsia="zh-CN"/>
        </w:rPr>
        <w:t>根据各地区要求进行设置</w:t>
      </w:r>
      <w:r>
        <w:rPr>
          <w:rFonts w:hint="eastAsia" w:ascii="楷体" w:hAnsi="楷体" w:eastAsia="楷体" w:cs="楷体"/>
          <w:color w:val="000000"/>
          <w:highlight w:val="none"/>
          <w:lang w:val="en-US" w:eastAsia="zh-CN"/>
        </w:rPr>
        <w:t>）</w:t>
      </w:r>
    </w:p>
    <w:p w14:paraId="25A131D6">
      <w:pPr>
        <w:bidi w:val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针对错误操作将不需要年检的组织退出名单，可以操作“年检退出名单”按钮。</w:t>
      </w:r>
    </w:p>
    <w:p w14:paraId="0F427593">
      <w:pPr>
        <w:pStyle w:val="22"/>
        <w:ind w:left="0" w:leftChars="0" w:firstLine="0" w:firstLineChars="0"/>
      </w:pPr>
      <w:r>
        <w:drawing>
          <wp:inline distT="0" distB="0" distL="114300" distR="114300">
            <wp:extent cx="5261610" cy="1501775"/>
            <wp:effectExtent l="0" t="0" r="15240" b="317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A554">
      <w:pPr>
        <w:pStyle w:val="22"/>
        <w:ind w:left="0" w:leftChars="0" w:firstLine="0" w:firstLineChars="0"/>
      </w:pPr>
      <w:r>
        <w:drawing>
          <wp:inline distT="0" distB="0" distL="114300" distR="114300">
            <wp:extent cx="5271770" cy="978535"/>
            <wp:effectExtent l="0" t="0" r="5080" b="1206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EB65D">
      <w:pPr>
        <w:bidi w:val="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lang w:eastAsia="zh-CN"/>
        </w:rPr>
        <w:t>勾选出不需要年检</w:t>
      </w:r>
      <w:r>
        <w:rPr>
          <w:rFonts w:hint="eastAsia" w:ascii="楷体" w:hAnsi="楷体" w:eastAsia="楷体" w:cs="楷体"/>
          <w:lang w:val="en-US" w:eastAsia="zh-CN"/>
        </w:rPr>
        <w:t>的组织，点“选择退回”。在年检名单中就去掉了。</w:t>
      </w:r>
    </w:p>
    <w:p w14:paraId="22938AB6"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用户进入“年检名单”模块，列表中显示已经加入年检的社会组织。</w:t>
      </w:r>
    </w:p>
    <w:p w14:paraId="606221D1">
      <w:pPr>
        <w:pStyle w:val="5"/>
        <w:numPr>
          <w:ilvl w:val="1"/>
          <w:numId w:val="2"/>
        </w:numPr>
        <w:bidi w:val="0"/>
        <w:rPr>
          <w:rFonts w:hint="eastAsia" w:ascii="楷体" w:hAnsi="楷体" w:eastAsia="楷体" w:cs="楷体"/>
          <w:lang w:eastAsia="zh-CN"/>
        </w:rPr>
      </w:pPr>
      <w:bookmarkStart w:id="24" w:name="_Toc19857"/>
      <w:r>
        <w:rPr>
          <w:rFonts w:hint="eastAsia" w:ascii="楷体" w:hAnsi="楷体" w:eastAsia="楷体" w:cs="楷体"/>
          <w:lang w:eastAsia="zh-CN"/>
        </w:rPr>
        <w:t>党建初审</w:t>
      </w:r>
      <w:bookmarkEnd w:id="24"/>
    </w:p>
    <w:p w14:paraId="02EFC80D"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eastAsia="zh-CN"/>
        </w:rPr>
        <w:t>社会组织已提交的年检报告，先通过党建部门初审。</w:t>
      </w:r>
      <w:r>
        <w:rPr>
          <w:rFonts w:hint="eastAsia" w:ascii="楷体" w:hAnsi="楷体" w:eastAsia="楷体" w:cs="楷体"/>
          <w:color w:val="000000"/>
          <w:highlight w:val="none"/>
          <w:lang w:val="en-US" w:eastAsia="zh-CN"/>
        </w:rPr>
        <w:t>如无业务主管单位或直接登记的社会组织的党建，在此进行审核；如有业务主管单位，直接可进行年检审核，自动跳过此步骤。</w:t>
      </w:r>
    </w:p>
    <w:p w14:paraId="292D6655"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71770" cy="1457325"/>
            <wp:effectExtent l="0" t="0" r="0" b="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rcRect t="100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E3522">
      <w:pPr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社会组织用户提交成功的年检报告，进入“</w:t>
      </w:r>
      <w:r>
        <w:rPr>
          <w:rFonts w:hint="eastAsia" w:ascii="楷体" w:hAnsi="楷体" w:eastAsia="楷体" w:cs="楷体"/>
          <w:lang w:val="en-US" w:eastAsia="zh-CN"/>
        </w:rPr>
        <w:t>党建</w:t>
      </w:r>
      <w:r>
        <w:rPr>
          <w:rFonts w:hint="eastAsia" w:ascii="楷体" w:hAnsi="楷体" w:eastAsia="楷体" w:cs="楷体"/>
          <w:lang w:eastAsia="zh-CN"/>
        </w:rPr>
        <w:t>初审”模块，需要选择某条记录点击“审核”按钮进行初审操作，初审通过的记录才能在“年检审核”中显示。</w:t>
      </w:r>
    </w:p>
    <w:p w14:paraId="7CCC4CA7"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当审核结果为“退回补正”，则会退回社会组织，需要该社会组织再次修改后重新提交。</w:t>
      </w:r>
    </w:p>
    <w:p w14:paraId="0FD24B7B">
      <w:pPr>
        <w:pStyle w:val="5"/>
        <w:numPr>
          <w:ilvl w:val="1"/>
          <w:numId w:val="2"/>
        </w:numPr>
        <w:bidi w:val="0"/>
        <w:rPr>
          <w:rFonts w:hint="eastAsia" w:ascii="楷体" w:hAnsi="楷体" w:eastAsia="楷体" w:cs="楷体"/>
          <w:lang w:eastAsia="zh-CN"/>
        </w:rPr>
      </w:pPr>
      <w:bookmarkStart w:id="25" w:name="_Toc12512"/>
      <w:r>
        <w:rPr>
          <w:rFonts w:hint="eastAsia" w:ascii="楷体" w:hAnsi="楷体" w:eastAsia="楷体" w:cs="楷体"/>
          <w:lang w:eastAsia="zh-CN"/>
        </w:rPr>
        <w:t>年检审核</w:t>
      </w:r>
      <w:bookmarkEnd w:id="25"/>
    </w:p>
    <w:p w14:paraId="06479E2F"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初审通过的，进入年检审核。</w:t>
      </w:r>
    </w:p>
    <w:p w14:paraId="0EC91544"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用户可以通过查询条件-组织类型，选择社团或者民非类型的组织，进行审核。</w:t>
      </w:r>
    </w:p>
    <w:p w14:paraId="7D26FE17">
      <w:pPr>
        <w:ind w:left="0" w:leftChars="0" w:firstLine="0" w:firstLineChars="0"/>
      </w:pPr>
      <w:r>
        <w:drawing>
          <wp:inline distT="0" distB="0" distL="114300" distR="114300">
            <wp:extent cx="5265420" cy="1796415"/>
            <wp:effectExtent l="0" t="0" r="1143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3029C">
      <w:pPr>
        <w:pStyle w:val="22"/>
        <w:spacing w:line="240" w:lineRule="auto"/>
        <w:ind w:firstLine="0" w:firstLineChars="0"/>
      </w:pPr>
      <w:r>
        <w:drawing>
          <wp:inline distT="0" distB="0" distL="114300" distR="114300">
            <wp:extent cx="5273675" cy="1671320"/>
            <wp:effectExtent l="0" t="0" r="0" b="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 t="100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5D72">
      <w:pPr>
        <w:ind w:left="0" w:leftChars="0" w:firstLine="420" w:firstLineChars="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lang w:eastAsia="zh-CN"/>
        </w:rPr>
        <w:t>查看年检报告后，点击“</w:t>
      </w:r>
      <w:r>
        <w:rPr>
          <w:rFonts w:hint="eastAsia" w:ascii="楷体" w:hAnsi="楷体" w:eastAsia="楷体" w:cs="楷体"/>
          <w:lang w:val="en-US" w:eastAsia="zh-CN"/>
        </w:rPr>
        <w:t>审核</w:t>
      </w:r>
      <w:r>
        <w:rPr>
          <w:rFonts w:hint="eastAsia" w:ascii="楷体" w:hAnsi="楷体" w:eastAsia="楷体" w:cs="楷体"/>
          <w:lang w:eastAsia="zh-CN"/>
        </w:rPr>
        <w:t>”。</w:t>
      </w:r>
      <w:r>
        <w:rPr>
          <w:rFonts w:hint="eastAsia" w:ascii="楷体" w:hAnsi="楷体" w:eastAsia="楷体" w:cs="楷体"/>
          <w:lang w:val="en-US" w:eastAsia="zh-CN"/>
        </w:rPr>
        <w:t>并选择审核结果，填写审核意见，然后点击“保存”按钮。</w:t>
      </w:r>
    </w:p>
    <w:p w14:paraId="391FAC4D">
      <w:pPr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lang w:val="en-US" w:eastAsia="zh-CN"/>
        </w:rPr>
        <w:t>当审核结果为“退回补正”，则会退回社会组织，需要该社会组织再次修改后重新提交。</w:t>
      </w:r>
    </w:p>
    <w:p w14:paraId="24C3E6A4">
      <w:pPr>
        <w:pStyle w:val="5"/>
        <w:numPr>
          <w:ilvl w:val="1"/>
          <w:numId w:val="2"/>
        </w:numPr>
        <w:bidi w:val="0"/>
        <w:rPr>
          <w:rFonts w:hint="eastAsia" w:ascii="楷体" w:hAnsi="楷体" w:eastAsia="楷体" w:cs="楷体"/>
          <w:lang w:eastAsia="zh-CN"/>
        </w:rPr>
      </w:pPr>
      <w:bookmarkStart w:id="26" w:name="_Toc3902"/>
      <w:r>
        <w:rPr>
          <w:rFonts w:hint="eastAsia" w:ascii="楷体" w:hAnsi="楷体" w:eastAsia="楷体" w:cs="楷体"/>
          <w:lang w:eastAsia="zh-CN"/>
        </w:rPr>
        <w:t>年检审批</w:t>
      </w:r>
      <w:bookmarkEnd w:id="26"/>
    </w:p>
    <w:p w14:paraId="3E7B4E58">
      <w:pPr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年检审核通过的进入“年检审批”模块</w:t>
      </w:r>
      <w:r>
        <w:rPr>
          <w:rFonts w:hint="eastAsia" w:ascii="楷体" w:hAnsi="楷体" w:eastAsia="楷体" w:cs="楷体"/>
          <w:lang w:val="en-US" w:eastAsia="zh-CN"/>
        </w:rPr>
        <w:t>。</w:t>
      </w:r>
    </w:p>
    <w:p w14:paraId="29151055">
      <w:pPr>
        <w:ind w:left="0" w:leftChars="0" w:firstLine="0" w:firstLineChars="0"/>
      </w:pPr>
      <w:r>
        <w:drawing>
          <wp:inline distT="0" distB="0" distL="114300" distR="114300">
            <wp:extent cx="5266055" cy="1726565"/>
            <wp:effectExtent l="0" t="0" r="1079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CCD87">
      <w:pPr>
        <w:pStyle w:val="22"/>
        <w:spacing w:line="240" w:lineRule="auto"/>
        <w:ind w:firstLine="0" w:firstLineChars="0"/>
      </w:pPr>
      <w:r>
        <w:drawing>
          <wp:inline distT="0" distB="0" distL="114300" distR="114300">
            <wp:extent cx="5256530" cy="1634490"/>
            <wp:effectExtent l="0" t="0" r="0" b="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rcRect t="707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4B5C">
      <w:pPr>
        <w:ind w:left="0" w:leftChars="0" w:firstLine="480" w:firstLineChars="20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lang w:eastAsia="zh-CN"/>
        </w:rPr>
        <w:t>选择某条记录点击“审批”按钮，查看年检报告后，点击“</w:t>
      </w:r>
      <w:r>
        <w:rPr>
          <w:rFonts w:hint="eastAsia" w:ascii="楷体" w:hAnsi="楷体" w:eastAsia="楷体" w:cs="楷体"/>
          <w:lang w:val="en-US" w:eastAsia="zh-CN"/>
        </w:rPr>
        <w:t>审批</w:t>
      </w:r>
      <w:r>
        <w:rPr>
          <w:rFonts w:hint="eastAsia" w:ascii="楷体" w:hAnsi="楷体" w:eastAsia="楷体" w:cs="楷体"/>
          <w:lang w:eastAsia="zh-CN"/>
        </w:rPr>
        <w:t>”。录入审批结果及审批意见，</w:t>
      </w:r>
      <w:r>
        <w:rPr>
          <w:rFonts w:hint="eastAsia" w:ascii="楷体" w:hAnsi="楷体" w:eastAsia="楷体" w:cs="楷体"/>
          <w:lang w:val="en-US" w:eastAsia="zh-CN"/>
        </w:rPr>
        <w:t>然后点击“保存”按钮。</w:t>
      </w:r>
    </w:p>
    <w:p w14:paraId="2FA5C192"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当审批结果为“退回补正”，则会退回社会组织，需要该社会组织再次修改后重新提交。</w:t>
      </w:r>
    </w:p>
    <w:p w14:paraId="5A66FCA3">
      <w:pPr>
        <w:pStyle w:val="5"/>
        <w:numPr>
          <w:ilvl w:val="1"/>
          <w:numId w:val="2"/>
        </w:numPr>
        <w:bidi w:val="0"/>
        <w:rPr>
          <w:rFonts w:hint="eastAsia" w:ascii="楷体" w:hAnsi="楷体" w:eastAsia="楷体" w:cs="楷体"/>
          <w:lang w:eastAsia="zh-CN"/>
        </w:rPr>
      </w:pPr>
      <w:bookmarkStart w:id="27" w:name="_Toc18229"/>
      <w:r>
        <w:rPr>
          <w:rFonts w:hint="eastAsia" w:ascii="楷体" w:hAnsi="楷体" w:eastAsia="楷体" w:cs="楷体"/>
          <w:lang w:eastAsia="zh-CN"/>
        </w:rPr>
        <w:t>年检查询</w:t>
      </w:r>
      <w:bookmarkEnd w:id="27"/>
    </w:p>
    <w:p w14:paraId="1EC2899E">
      <w:pPr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用户可查看所在地区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本级</w:t>
      </w:r>
      <w:r>
        <w:rPr>
          <w:rFonts w:hint="eastAsia" w:ascii="楷体" w:hAnsi="楷体" w:eastAsia="楷体" w:cs="楷体"/>
          <w:lang w:eastAsia="zh-CN"/>
        </w:rPr>
        <w:t>及</w:t>
      </w:r>
      <w:r>
        <w:rPr>
          <w:rFonts w:hint="eastAsia" w:ascii="楷体" w:hAnsi="楷体" w:eastAsia="楷体" w:cs="楷体"/>
          <w:lang w:val="en-US" w:eastAsia="zh-CN"/>
        </w:rPr>
        <w:t>所属</w:t>
      </w:r>
      <w:r>
        <w:rPr>
          <w:rFonts w:hint="eastAsia" w:ascii="楷体" w:hAnsi="楷体" w:eastAsia="楷体" w:cs="楷体"/>
          <w:lang w:eastAsia="zh-CN"/>
        </w:rPr>
        <w:t>下级的所有社会组织年检情况。可根据查询条件查询信息。</w:t>
      </w:r>
    </w:p>
    <w:p w14:paraId="0BCD894A">
      <w:pPr>
        <w:pStyle w:val="22"/>
        <w:ind w:left="0" w:leftChars="0" w:firstLine="0" w:firstLineChars="0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1610" cy="1851660"/>
            <wp:effectExtent l="0" t="0" r="0" b="0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rcRect t="748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DB6AE">
      <w:pPr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点击“查看”按钮可查询已提交年检或审核通过的报告详细信息。</w:t>
      </w:r>
    </w:p>
    <w:p w14:paraId="24B46AF5">
      <w:pPr>
        <w:pStyle w:val="5"/>
        <w:numPr>
          <w:ilvl w:val="1"/>
          <w:numId w:val="2"/>
        </w:numPr>
        <w:bidi w:val="0"/>
        <w:rPr>
          <w:rFonts w:hint="eastAsia" w:ascii="楷体" w:hAnsi="楷体" w:eastAsia="楷体" w:cs="楷体"/>
          <w:lang w:val="en-US" w:eastAsia="zh-CN"/>
        </w:rPr>
      </w:pPr>
      <w:bookmarkStart w:id="28" w:name="_Toc8780"/>
      <w:r>
        <w:rPr>
          <w:rFonts w:hint="eastAsia" w:ascii="楷体" w:hAnsi="楷体" w:eastAsia="楷体" w:cs="楷体"/>
          <w:lang w:val="en-US" w:eastAsia="zh-CN"/>
        </w:rPr>
        <w:t>年检统计</w:t>
      </w:r>
      <w:bookmarkEnd w:id="28"/>
    </w:p>
    <w:p w14:paraId="08107194">
      <w:pPr>
        <w:bidi w:val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系统自动生成全省各地区各级的年检情况统计表。统计数据为各地区本级的所有社会组织数量。</w:t>
      </w:r>
    </w:p>
    <w:p w14:paraId="65E47C3F">
      <w:pPr>
        <w:bidi w:val="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lang w:val="en-US" w:eastAsia="zh-CN"/>
        </w:rPr>
        <w:t>用户可以查看本级及所属下级的年检情况统计。省级用户点击“XX市”，可以打开显示此地市所属下级区县的年检情况。</w:t>
      </w:r>
      <w:r>
        <w:rPr>
          <w:rFonts w:hint="eastAsia" w:ascii="楷体" w:hAnsi="楷体" w:eastAsia="楷体" w:cs="楷体"/>
        </w:rPr>
        <w:drawing>
          <wp:inline distT="0" distB="0" distL="114300" distR="114300">
            <wp:extent cx="5252720" cy="1915795"/>
            <wp:effectExtent l="0" t="0" r="5080" b="825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36F34">
      <w:pPr>
        <w:bidi w:val="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lang w:val="en-US" w:eastAsia="zh-CN"/>
        </w:rPr>
        <w:t>可以按年检年份、社会组织类型分类统计查看。</w:t>
      </w:r>
    </w:p>
    <w:p w14:paraId="1002E8FA">
      <w:pPr>
        <w:pStyle w:val="5"/>
        <w:numPr>
          <w:ilvl w:val="1"/>
          <w:numId w:val="2"/>
        </w:numPr>
        <w:bidi w:val="0"/>
        <w:rPr>
          <w:rFonts w:hint="eastAsia" w:ascii="楷体" w:hAnsi="楷体" w:eastAsia="楷体" w:cs="楷体"/>
          <w:lang w:val="en-US" w:eastAsia="zh-CN"/>
        </w:rPr>
      </w:pPr>
      <w:bookmarkStart w:id="29" w:name="_Toc21378"/>
      <w:r>
        <w:rPr>
          <w:rFonts w:hint="eastAsia" w:ascii="楷体" w:hAnsi="楷体" w:eastAsia="楷体" w:cs="楷体"/>
          <w:lang w:val="en-US" w:eastAsia="zh-CN"/>
        </w:rPr>
        <w:t>年检公示</w:t>
      </w:r>
      <w:bookmarkEnd w:id="29"/>
    </w:p>
    <w:p w14:paraId="75E02477">
      <w:pPr>
        <w:bidi w:val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本级已经审批通过的年检</w:t>
      </w:r>
      <w:bookmarkStart w:id="32" w:name="_GoBack"/>
      <w:bookmarkEnd w:id="32"/>
      <w:r>
        <w:rPr>
          <w:rFonts w:hint="eastAsia" w:ascii="楷体" w:hAnsi="楷体" w:eastAsia="楷体" w:cs="楷体"/>
          <w:lang w:val="en-US" w:eastAsia="zh-CN"/>
        </w:rPr>
        <w:t>，管理机关可以自行选择公示平台进行公示。</w:t>
      </w:r>
    </w:p>
    <w:p w14:paraId="63C64C9D">
      <w:pPr>
        <w:pStyle w:val="4"/>
        <w:numPr>
          <w:ilvl w:val="0"/>
          <w:numId w:val="2"/>
        </w:numPr>
        <w:bidi w:val="0"/>
        <w:rPr>
          <w:rFonts w:hint="eastAsia" w:ascii="楷体" w:hAnsi="楷体" w:eastAsia="楷体" w:cs="楷体"/>
          <w:lang w:eastAsia="zh-CN"/>
        </w:rPr>
      </w:pPr>
      <w:bookmarkStart w:id="30" w:name="_Toc22045"/>
      <w:r>
        <w:rPr>
          <w:rFonts w:hint="eastAsia" w:ascii="楷体" w:hAnsi="楷体" w:eastAsia="楷体" w:cs="楷体"/>
          <w:lang w:eastAsia="zh-CN"/>
        </w:rPr>
        <w:t>系统用户管理</w:t>
      </w:r>
      <w:bookmarkEnd w:id="30"/>
    </w:p>
    <w:p w14:paraId="1A6BE2DB">
      <w:pPr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特定的管理用户，可以进行本级及所属下级的系统用户维护。</w:t>
      </w:r>
    </w:p>
    <w:p w14:paraId="41D467DD">
      <w:pPr>
        <w:ind w:left="0" w:leftChars="0" w:firstLine="0" w:firstLineChars="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74310" cy="2100580"/>
            <wp:effectExtent l="0" t="0" r="2540" b="1397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446C">
      <w:pPr>
        <w:ind w:left="0" w:leftChars="0" w:firstLine="480" w:firstLineChars="200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系统默认全业务办理权限用户可在菜单中的系统管理模块，进行“用户管理”子模操作。列表中可查看本级及所属下级的用户信息。</w:t>
      </w:r>
    </w:p>
    <w:p w14:paraId="6D8E98DE">
      <w:pPr>
        <w:ind w:left="0" w:leftChars="0" w:firstLine="480" w:firstLineChars="200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可进行查询、添加、修改、删除操作，删除后无法恢复。</w:t>
      </w:r>
    </w:p>
    <w:p w14:paraId="7815CC49">
      <w:pPr>
        <w:ind w:left="0" w:leftChars="0" w:firstLine="480" w:firstLineChars="200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添加用户，如下图：</w:t>
      </w:r>
    </w:p>
    <w:p w14:paraId="5823FB89">
      <w:pPr>
        <w:ind w:left="0" w:leftChars="0" w:firstLine="0" w:firstLineChars="0"/>
        <w:jc w:val="center"/>
      </w:pPr>
      <w:r>
        <w:drawing>
          <wp:inline distT="0" distB="0" distL="114300" distR="114300">
            <wp:extent cx="5268595" cy="4279900"/>
            <wp:effectExtent l="0" t="0" r="8255" b="635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9A01">
      <w:pPr>
        <w:ind w:left="0" w:leftChars="0" w:firstLine="480" w:firstLineChars="200"/>
        <w:jc w:val="both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点击“添加”按钮进行新增用户操作，需注意其中用户名、登录密码、状态、角色、所在地区为必填项，信息填写完成后点击“确定”按钮，创建用户成功。</w:t>
      </w:r>
    </w:p>
    <w:p w14:paraId="56D52B7A">
      <w:pPr>
        <w:ind w:left="0" w:leftChars="0" w:firstLine="480" w:firstLineChars="0"/>
        <w:jc w:val="both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当用户状态为“锁定”时，该用户则无法登入系统。</w:t>
      </w:r>
    </w:p>
    <w:p w14:paraId="04E3691D">
      <w:pPr>
        <w:ind w:left="0" w:leftChars="0" w:firstLine="480" w:firstLineChars="0"/>
        <w:jc w:val="both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如果本级或下级用户忘记了自己的密码，授权用户可以在用户管理中找到此用户，进入“修改”，在登录密码框中重新输入新密码。修改用户信息时，不录入登录密码，确定后用户原密码保持不变。</w:t>
      </w:r>
    </w:p>
    <w:p w14:paraId="1655A9B7">
      <w:pPr>
        <w:ind w:left="0" w:leftChars="0" w:firstLine="420" w:firstLineChars="0"/>
        <w:jc w:val="both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系统用户角色及权限如下表：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6"/>
        <w:gridCol w:w="3080"/>
        <w:gridCol w:w="2906"/>
      </w:tblGrid>
      <w:tr w14:paraId="14916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6" w:type="dxa"/>
            <w:shd w:val="clear" w:color="auto" w:fill="F1F1F1" w:themeFill="background1" w:themeFillShade="F2"/>
          </w:tcPr>
          <w:p w14:paraId="08DEDB7C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角色名称</w:t>
            </w:r>
          </w:p>
        </w:tc>
        <w:tc>
          <w:tcPr>
            <w:tcW w:w="3080" w:type="dxa"/>
            <w:shd w:val="clear" w:color="auto" w:fill="F1F1F1" w:themeFill="background1" w:themeFillShade="F2"/>
          </w:tcPr>
          <w:p w14:paraId="07AC2064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可进入系统</w:t>
            </w:r>
          </w:p>
        </w:tc>
        <w:tc>
          <w:tcPr>
            <w:tcW w:w="2906" w:type="dxa"/>
            <w:shd w:val="clear" w:color="auto" w:fill="F1F1F1" w:themeFill="background1" w:themeFillShade="F2"/>
          </w:tcPr>
          <w:p w14:paraId="55DCA3AA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角色授权</w:t>
            </w:r>
          </w:p>
        </w:tc>
      </w:tr>
      <w:tr w14:paraId="55CB7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6" w:type="dxa"/>
          </w:tcPr>
          <w:p w14:paraId="0EB6D628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社会组织用户</w:t>
            </w:r>
          </w:p>
        </w:tc>
        <w:tc>
          <w:tcPr>
            <w:tcW w:w="3080" w:type="dxa"/>
            <w:vMerge w:val="restart"/>
          </w:tcPr>
          <w:p w14:paraId="2DABECC1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“陕西省社会组织信息平台”</w:t>
            </w:r>
          </w:p>
        </w:tc>
        <w:tc>
          <w:tcPr>
            <w:tcW w:w="2906" w:type="dxa"/>
          </w:tcPr>
          <w:p w14:paraId="4AAC2011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本组织年检提交</w:t>
            </w:r>
          </w:p>
        </w:tc>
      </w:tr>
      <w:tr w14:paraId="44747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6" w:type="dxa"/>
          </w:tcPr>
          <w:p w14:paraId="4876FC47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窗口受理用户</w:t>
            </w:r>
          </w:p>
        </w:tc>
        <w:tc>
          <w:tcPr>
            <w:tcW w:w="3080" w:type="dxa"/>
            <w:vMerge w:val="continue"/>
          </w:tcPr>
          <w:p w14:paraId="0348A01A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</w:p>
        </w:tc>
        <w:tc>
          <w:tcPr>
            <w:tcW w:w="2906" w:type="dxa"/>
          </w:tcPr>
          <w:p w14:paraId="69E6AF1B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本地区所有组织年检提交</w:t>
            </w:r>
          </w:p>
        </w:tc>
      </w:tr>
      <w:tr w14:paraId="4363F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6" w:type="dxa"/>
          </w:tcPr>
          <w:p w14:paraId="20138BE7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年检初审用户</w:t>
            </w:r>
          </w:p>
        </w:tc>
        <w:tc>
          <w:tcPr>
            <w:tcW w:w="3080" w:type="dxa"/>
            <w:vMerge w:val="restart"/>
          </w:tcPr>
          <w:p w14:paraId="7019EEF5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“陕西省社会组织法人库业务管理系统”</w:t>
            </w:r>
          </w:p>
        </w:tc>
        <w:tc>
          <w:tcPr>
            <w:tcW w:w="2906" w:type="dxa"/>
          </w:tcPr>
          <w:p w14:paraId="172B8C91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年检报告查看，初审</w:t>
            </w:r>
          </w:p>
        </w:tc>
      </w:tr>
      <w:tr w14:paraId="6E376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6" w:type="dxa"/>
          </w:tcPr>
          <w:p w14:paraId="667CA6E4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年检审核用户</w:t>
            </w:r>
          </w:p>
        </w:tc>
        <w:tc>
          <w:tcPr>
            <w:tcW w:w="3080" w:type="dxa"/>
            <w:vMerge w:val="continue"/>
          </w:tcPr>
          <w:p w14:paraId="3ECF4512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</w:p>
        </w:tc>
        <w:tc>
          <w:tcPr>
            <w:tcW w:w="2906" w:type="dxa"/>
          </w:tcPr>
          <w:p w14:paraId="3D511628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年检报告查看，审核</w:t>
            </w:r>
          </w:p>
        </w:tc>
      </w:tr>
      <w:tr w14:paraId="4693B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6" w:type="dxa"/>
          </w:tcPr>
          <w:p w14:paraId="687FB557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年检审批用户</w:t>
            </w:r>
          </w:p>
        </w:tc>
        <w:tc>
          <w:tcPr>
            <w:tcW w:w="3080" w:type="dxa"/>
            <w:vMerge w:val="continue"/>
          </w:tcPr>
          <w:p w14:paraId="33B446B4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</w:p>
        </w:tc>
        <w:tc>
          <w:tcPr>
            <w:tcW w:w="2906" w:type="dxa"/>
          </w:tcPr>
          <w:p w14:paraId="62831609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年检报告查看，审批</w:t>
            </w:r>
          </w:p>
        </w:tc>
      </w:tr>
      <w:tr w14:paraId="259E3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6" w:type="dxa"/>
          </w:tcPr>
          <w:p w14:paraId="73C9E1C4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全业务办理用户</w:t>
            </w:r>
          </w:p>
        </w:tc>
        <w:tc>
          <w:tcPr>
            <w:tcW w:w="3080" w:type="dxa"/>
            <w:vMerge w:val="continue"/>
          </w:tcPr>
          <w:p w14:paraId="2AF7FCAE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</w:p>
        </w:tc>
        <w:tc>
          <w:tcPr>
            <w:tcW w:w="2906" w:type="dxa"/>
          </w:tcPr>
          <w:p w14:paraId="013A1945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年检所有操作，用户管理</w:t>
            </w:r>
          </w:p>
        </w:tc>
      </w:tr>
      <w:tr w14:paraId="4CC73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6" w:type="dxa"/>
          </w:tcPr>
          <w:p w14:paraId="40140D61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查询用户</w:t>
            </w:r>
          </w:p>
        </w:tc>
        <w:tc>
          <w:tcPr>
            <w:tcW w:w="3080" w:type="dxa"/>
            <w:vMerge w:val="continue"/>
          </w:tcPr>
          <w:p w14:paraId="0E71F194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</w:p>
        </w:tc>
        <w:tc>
          <w:tcPr>
            <w:tcW w:w="2906" w:type="dxa"/>
          </w:tcPr>
          <w:p w14:paraId="3EAB3E6B">
            <w:pPr>
              <w:pStyle w:val="23"/>
              <w:bidi w:val="0"/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年检查询</w:t>
            </w:r>
          </w:p>
        </w:tc>
      </w:tr>
    </w:tbl>
    <w:p w14:paraId="7091BD65">
      <w:pPr>
        <w:pStyle w:val="4"/>
        <w:numPr>
          <w:ilvl w:val="0"/>
          <w:numId w:val="2"/>
        </w:numPr>
        <w:bidi w:val="0"/>
        <w:rPr>
          <w:rFonts w:hint="eastAsia" w:ascii="楷体" w:hAnsi="楷体" w:eastAsia="楷体" w:cs="楷体"/>
          <w:lang w:val="en-US" w:eastAsia="zh-CN"/>
        </w:rPr>
      </w:pPr>
      <w:bookmarkStart w:id="31" w:name="_Toc12934"/>
      <w:r>
        <w:rPr>
          <w:rFonts w:hint="eastAsia" w:ascii="楷体" w:hAnsi="楷体" w:eastAsia="楷体" w:cs="楷体"/>
          <w:lang w:val="en-US" w:eastAsia="zh-CN"/>
        </w:rPr>
        <w:t>在线客服</w:t>
      </w:r>
      <w:bookmarkEnd w:id="31"/>
    </w:p>
    <w:p w14:paraId="790896E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eastAsia="zh-CN"/>
        </w:rPr>
        <w:t>系统使用中有任何技术问题，可以联系我们客服人员。系统问题</w:t>
      </w:r>
      <w:r>
        <w:rPr>
          <w:rFonts w:hint="eastAsia" w:ascii="楷体" w:hAnsi="楷体" w:eastAsia="楷体" w:cs="楷体"/>
          <w:lang w:val="en-US" w:eastAsia="zh-CN"/>
        </w:rPr>
        <w:t>请关注“</w:t>
      </w:r>
      <w:r>
        <w:rPr>
          <w:rFonts w:hint="eastAsia" w:ascii="楷体" w:hAnsi="楷体" w:eastAsia="楷体" w:cs="楷体"/>
          <w:b/>
          <w:bCs/>
          <w:lang w:val="en-US" w:eastAsia="zh-CN"/>
        </w:rPr>
        <w:t>天盟云服</w:t>
      </w:r>
      <w:r>
        <w:rPr>
          <w:rFonts w:hint="eastAsia" w:ascii="楷体" w:hAnsi="楷体" w:eastAsia="楷体" w:cs="楷体"/>
          <w:lang w:val="en-US" w:eastAsia="zh-CN"/>
        </w:rPr>
        <w:t>”微信公众号，</w:t>
      </w:r>
      <w:r>
        <w:rPr>
          <w:rFonts w:hint="eastAsia" w:ascii="楷体" w:hAnsi="楷体" w:eastAsia="楷体" w:cs="楷体"/>
          <w:lang w:eastAsia="zh-CN"/>
        </w:rPr>
        <w:t>进入在线客服，网上咨询。</w:t>
      </w:r>
      <w:r>
        <w:rPr>
          <w:rFonts w:hint="eastAsia" w:ascii="楷体" w:hAnsi="楷体" w:eastAsia="楷体" w:cs="楷体"/>
          <w:lang w:val="en-US" w:eastAsia="zh-CN"/>
        </w:rPr>
        <w:t>可扫码进行关注。</w:t>
      </w:r>
    </w:p>
    <w:p w14:paraId="751BA8B4">
      <w:pPr>
        <w:bidi w:val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      </w:t>
      </w:r>
      <w:r>
        <w:rPr>
          <w:rFonts w:hint="eastAsia" w:ascii="楷体" w:hAnsi="楷体" w:eastAsia="楷体" w:cs="楷体"/>
          <w:lang w:val="en-US" w:eastAsia="zh-CN"/>
        </w:rPr>
        <w:drawing>
          <wp:inline distT="0" distB="0" distL="114300" distR="114300">
            <wp:extent cx="2510155" cy="2510155"/>
            <wp:effectExtent l="0" t="0" r="4445" b="4445"/>
            <wp:docPr id="46" name="图片 46" descr="1f780799c7f9630e9c3eded27250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f780799c7f9630e9c3eded27250b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7F5A">
      <w:pPr>
        <w:bidi w:val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紧急问题可以直接拨打客服电话：029-85452555 13571824243。</w:t>
      </w:r>
    </w:p>
    <w:p w14:paraId="14269307">
      <w:pPr>
        <w:bidi w:val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eastAsia="zh-CN"/>
        </w:rPr>
        <w:t>客服在线时间：工作日</w:t>
      </w:r>
      <w:r>
        <w:rPr>
          <w:rFonts w:hint="eastAsia" w:ascii="楷体" w:hAnsi="楷体" w:eastAsia="楷体" w:cs="楷体"/>
          <w:lang w:val="en-US" w:eastAsia="zh-CN"/>
        </w:rPr>
        <w:t>9：00—17：30。</w:t>
      </w:r>
    </w:p>
    <w:p w14:paraId="78AEF895">
      <w:pPr>
        <w:pStyle w:val="22"/>
      </w:pPr>
    </w:p>
    <w:p w14:paraId="23CBCAD1">
      <w:pPr>
        <w:jc w:val="center"/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DFC192">
    <w:pPr>
      <w:pStyle w:val="14"/>
      <w:jc w:val="left"/>
      <w:rPr>
        <w:rFonts w:hint="default" w:eastAsia="宋体"/>
        <w:color w:val="808080" w:themeColor="background1" w:themeShade="80"/>
        <w:lang w:val="en-US" w:eastAsia="zh-CN"/>
      </w:rPr>
    </w:pPr>
    <w:r>
      <w:rPr>
        <w:color w:val="808080" w:themeColor="background1" w:themeShade="80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3925570</wp:posOffset>
              </wp:positionH>
              <wp:positionV relativeFrom="paragraph">
                <wp:posOffset>-19050</wp:posOffset>
              </wp:positionV>
              <wp:extent cx="1308735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F1E350">
                          <w:pPr>
                            <w:pStyle w:val="14"/>
                            <w:jc w:val="center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09.1pt;margin-top:-1.5pt;height:144pt;width:103.05pt;mso-position-horizontal-relative:margin;z-index:251659264;mso-width-relative:page;mso-height-relative:page;" filled="f" stroked="f" coordsize="21600,21600" o:gfxdata="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IrKJnZAAAACgEAAA8AAAAAAAAAAQAgAAAAIgAAAGRycy9kb3du&#10;cmV2LnhtbFBLAQIUABQAAAAIAIdO4kD6TOG5NwIAAGMEAAAOAAAAAAAAAAEAIAAAACg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F1E350">
                    <w:pPr>
                      <w:pStyle w:val="14"/>
                      <w:jc w:val="center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808080" w:themeColor="background1" w:themeShade="80"/>
        <w:sz w:val="18"/>
        <w:lang w:eastAsia="zh-CN"/>
      </w:rPr>
      <w:t>陕西天盟信息技术有限公司</w:t>
    </w:r>
    <w:r>
      <w:rPr>
        <w:rFonts w:hint="eastAsia"/>
        <w:color w:val="808080" w:themeColor="background1" w:themeShade="80"/>
        <w:sz w:val="18"/>
        <w:lang w:val="en-US" w:eastAsia="zh-CN"/>
      </w:rPr>
      <w:t xml:space="preserve"> 技术支持 029-85452555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88" w:lineRule="auto"/>
        <w:ind w:firstLine="480"/>
      </w:pPr>
      <w:r>
        <w:separator/>
      </w:r>
    </w:p>
  </w:footnote>
  <w:footnote w:type="continuationSeparator" w:id="1">
    <w:p>
      <w:pPr>
        <w:spacing w:line="288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9861EF">
    <w:pPr>
      <w:pStyle w:val="15"/>
      <w:jc w:val="right"/>
      <w:rPr>
        <w:rFonts w:hint="default" w:eastAsia="宋体"/>
        <w:lang w:val="en-US" w:eastAsia="zh-CN"/>
      </w:rPr>
    </w:pPr>
    <w:r>
      <w:rPr>
        <w:rFonts w:hint="eastAsia"/>
        <w:lang w:eastAsia="zh-CN"/>
      </w:rPr>
      <w:t>年检系统操作</w:t>
    </w:r>
    <w:r>
      <w:rPr>
        <w:rFonts w:hint="eastAsia"/>
        <w:lang w:val="en-US" w:eastAsia="zh-CN"/>
      </w:rP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68A10C"/>
    <w:multiLevelType w:val="multilevel"/>
    <w:tmpl w:val="0568A10C"/>
    <w:lvl w:ilvl="0" w:tentative="0">
      <w:start w:val="1"/>
      <w:numFmt w:val="chineseCounting"/>
      <w:pStyle w:val="4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5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6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7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8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9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0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1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2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yOTdmZjRhOTUxZTJjMjI1MTEwYTUwMzc0YmY3N2UifQ=="/>
  </w:docVars>
  <w:rsids>
    <w:rsidRoot w:val="02236AB4"/>
    <w:rsid w:val="00001889"/>
    <w:rsid w:val="0020339A"/>
    <w:rsid w:val="00D24FF0"/>
    <w:rsid w:val="01D25FDE"/>
    <w:rsid w:val="02022322"/>
    <w:rsid w:val="020F7D08"/>
    <w:rsid w:val="0216715F"/>
    <w:rsid w:val="02236AB4"/>
    <w:rsid w:val="025907ED"/>
    <w:rsid w:val="0259409E"/>
    <w:rsid w:val="0287522A"/>
    <w:rsid w:val="0298389E"/>
    <w:rsid w:val="02B0310F"/>
    <w:rsid w:val="02C72207"/>
    <w:rsid w:val="02DD79F1"/>
    <w:rsid w:val="036013AC"/>
    <w:rsid w:val="03A03184"/>
    <w:rsid w:val="03A250FE"/>
    <w:rsid w:val="03EA43FF"/>
    <w:rsid w:val="042452B3"/>
    <w:rsid w:val="04671EF4"/>
    <w:rsid w:val="049D275A"/>
    <w:rsid w:val="04EE70D2"/>
    <w:rsid w:val="05171224"/>
    <w:rsid w:val="058D22A7"/>
    <w:rsid w:val="06460C56"/>
    <w:rsid w:val="06492D7E"/>
    <w:rsid w:val="065121C1"/>
    <w:rsid w:val="066363A1"/>
    <w:rsid w:val="067D1FEF"/>
    <w:rsid w:val="06E94E42"/>
    <w:rsid w:val="071919AA"/>
    <w:rsid w:val="071947CD"/>
    <w:rsid w:val="076A18ED"/>
    <w:rsid w:val="07A67DEE"/>
    <w:rsid w:val="07B40FAC"/>
    <w:rsid w:val="07DC2166"/>
    <w:rsid w:val="07F110B9"/>
    <w:rsid w:val="080F06E1"/>
    <w:rsid w:val="086F75C9"/>
    <w:rsid w:val="08837DE3"/>
    <w:rsid w:val="089D7113"/>
    <w:rsid w:val="08EB4EA1"/>
    <w:rsid w:val="09524F20"/>
    <w:rsid w:val="09966C5E"/>
    <w:rsid w:val="0A481841"/>
    <w:rsid w:val="0A676FF7"/>
    <w:rsid w:val="0B200D91"/>
    <w:rsid w:val="0B4F4C5B"/>
    <w:rsid w:val="0B505490"/>
    <w:rsid w:val="0B62773F"/>
    <w:rsid w:val="0BB97DD2"/>
    <w:rsid w:val="0BBE08DD"/>
    <w:rsid w:val="0BD7170D"/>
    <w:rsid w:val="0C255D6D"/>
    <w:rsid w:val="0CFB142B"/>
    <w:rsid w:val="0F256C33"/>
    <w:rsid w:val="0F791001"/>
    <w:rsid w:val="10336D78"/>
    <w:rsid w:val="1045758D"/>
    <w:rsid w:val="107522FB"/>
    <w:rsid w:val="10E83C13"/>
    <w:rsid w:val="1127475F"/>
    <w:rsid w:val="11625F1D"/>
    <w:rsid w:val="120E3219"/>
    <w:rsid w:val="128007DC"/>
    <w:rsid w:val="12A81D6D"/>
    <w:rsid w:val="1300779B"/>
    <w:rsid w:val="132444BB"/>
    <w:rsid w:val="13A11B99"/>
    <w:rsid w:val="13AE53E1"/>
    <w:rsid w:val="14DB600F"/>
    <w:rsid w:val="14F450DE"/>
    <w:rsid w:val="15267743"/>
    <w:rsid w:val="157C6053"/>
    <w:rsid w:val="158B468C"/>
    <w:rsid w:val="158C09E2"/>
    <w:rsid w:val="159348F7"/>
    <w:rsid w:val="15E96C0C"/>
    <w:rsid w:val="15F630D7"/>
    <w:rsid w:val="160D7ABC"/>
    <w:rsid w:val="163B013D"/>
    <w:rsid w:val="16485C26"/>
    <w:rsid w:val="16873D30"/>
    <w:rsid w:val="168D2480"/>
    <w:rsid w:val="169A7F07"/>
    <w:rsid w:val="173E0AA8"/>
    <w:rsid w:val="17435B13"/>
    <w:rsid w:val="17B0177A"/>
    <w:rsid w:val="182D40BB"/>
    <w:rsid w:val="18392B74"/>
    <w:rsid w:val="19151848"/>
    <w:rsid w:val="19AD7F51"/>
    <w:rsid w:val="1A6E3163"/>
    <w:rsid w:val="1B2C4C2A"/>
    <w:rsid w:val="1CE343B6"/>
    <w:rsid w:val="1CFC3AAF"/>
    <w:rsid w:val="1D87425A"/>
    <w:rsid w:val="1DC97914"/>
    <w:rsid w:val="1E6447CF"/>
    <w:rsid w:val="1E786010"/>
    <w:rsid w:val="1FA47700"/>
    <w:rsid w:val="1FC84BB7"/>
    <w:rsid w:val="1FDE70B6"/>
    <w:rsid w:val="1FDF698A"/>
    <w:rsid w:val="1FE4735E"/>
    <w:rsid w:val="20757D89"/>
    <w:rsid w:val="20915166"/>
    <w:rsid w:val="20F12E19"/>
    <w:rsid w:val="20FC259E"/>
    <w:rsid w:val="228F5F0E"/>
    <w:rsid w:val="22B46BAD"/>
    <w:rsid w:val="22DA1DB7"/>
    <w:rsid w:val="2335523F"/>
    <w:rsid w:val="233A4603"/>
    <w:rsid w:val="23897339"/>
    <w:rsid w:val="24603846"/>
    <w:rsid w:val="248024EA"/>
    <w:rsid w:val="24A02B8C"/>
    <w:rsid w:val="24CF5184"/>
    <w:rsid w:val="25156B18"/>
    <w:rsid w:val="2564005E"/>
    <w:rsid w:val="25E92311"/>
    <w:rsid w:val="260B392E"/>
    <w:rsid w:val="261849A4"/>
    <w:rsid w:val="26A22D14"/>
    <w:rsid w:val="26D44D6F"/>
    <w:rsid w:val="2715033A"/>
    <w:rsid w:val="28180360"/>
    <w:rsid w:val="28722A91"/>
    <w:rsid w:val="28E53263"/>
    <w:rsid w:val="28E86587"/>
    <w:rsid w:val="29126D48"/>
    <w:rsid w:val="299D769A"/>
    <w:rsid w:val="29E76B67"/>
    <w:rsid w:val="2A6A092B"/>
    <w:rsid w:val="2AB26929"/>
    <w:rsid w:val="2AED4651"/>
    <w:rsid w:val="2B8D73FC"/>
    <w:rsid w:val="2BEF3B36"/>
    <w:rsid w:val="2BF11F1F"/>
    <w:rsid w:val="2C35005E"/>
    <w:rsid w:val="2C516582"/>
    <w:rsid w:val="2C721524"/>
    <w:rsid w:val="2C7E3DD3"/>
    <w:rsid w:val="2C9F55D6"/>
    <w:rsid w:val="2CBF0FE1"/>
    <w:rsid w:val="2D454904"/>
    <w:rsid w:val="2D4C03C5"/>
    <w:rsid w:val="2D6D2812"/>
    <w:rsid w:val="2D994C40"/>
    <w:rsid w:val="2DD81577"/>
    <w:rsid w:val="2E105E7C"/>
    <w:rsid w:val="2E323C0F"/>
    <w:rsid w:val="2E3E188E"/>
    <w:rsid w:val="2EA63495"/>
    <w:rsid w:val="2EC8340B"/>
    <w:rsid w:val="2F064EE9"/>
    <w:rsid w:val="2F3A3362"/>
    <w:rsid w:val="2F4A00ED"/>
    <w:rsid w:val="2FE37DD1"/>
    <w:rsid w:val="30EE1123"/>
    <w:rsid w:val="32D9757D"/>
    <w:rsid w:val="330B1B51"/>
    <w:rsid w:val="331A75FE"/>
    <w:rsid w:val="33292712"/>
    <w:rsid w:val="33745910"/>
    <w:rsid w:val="33A53035"/>
    <w:rsid w:val="33D2213C"/>
    <w:rsid w:val="34150360"/>
    <w:rsid w:val="34692F9B"/>
    <w:rsid w:val="34FE4DE1"/>
    <w:rsid w:val="356144A4"/>
    <w:rsid w:val="35A241B9"/>
    <w:rsid w:val="35C80195"/>
    <w:rsid w:val="3641163C"/>
    <w:rsid w:val="36BB57C4"/>
    <w:rsid w:val="36BC6BCC"/>
    <w:rsid w:val="371F2036"/>
    <w:rsid w:val="373A0C1E"/>
    <w:rsid w:val="37F555DB"/>
    <w:rsid w:val="37F675F3"/>
    <w:rsid w:val="380134EA"/>
    <w:rsid w:val="39384F39"/>
    <w:rsid w:val="394F02CB"/>
    <w:rsid w:val="39F34189"/>
    <w:rsid w:val="3A2D7AF3"/>
    <w:rsid w:val="3A804B9A"/>
    <w:rsid w:val="3AA0768F"/>
    <w:rsid w:val="3AB17B22"/>
    <w:rsid w:val="3AB80E98"/>
    <w:rsid w:val="3AC759AC"/>
    <w:rsid w:val="3B140CCD"/>
    <w:rsid w:val="3B512DAC"/>
    <w:rsid w:val="3B5B73B5"/>
    <w:rsid w:val="3B67243C"/>
    <w:rsid w:val="3BE2110A"/>
    <w:rsid w:val="3C8A61A4"/>
    <w:rsid w:val="3CB977BD"/>
    <w:rsid w:val="3D127F47"/>
    <w:rsid w:val="3D691975"/>
    <w:rsid w:val="3DA6799D"/>
    <w:rsid w:val="3DCD253F"/>
    <w:rsid w:val="3DE47B36"/>
    <w:rsid w:val="3F1446D3"/>
    <w:rsid w:val="3F5605BF"/>
    <w:rsid w:val="3F9B5A43"/>
    <w:rsid w:val="3FE6780E"/>
    <w:rsid w:val="409121C0"/>
    <w:rsid w:val="40984635"/>
    <w:rsid w:val="40A2542D"/>
    <w:rsid w:val="40F40090"/>
    <w:rsid w:val="40FA4F7A"/>
    <w:rsid w:val="41C40157"/>
    <w:rsid w:val="41D26269"/>
    <w:rsid w:val="42445A0A"/>
    <w:rsid w:val="42725385"/>
    <w:rsid w:val="42870BB0"/>
    <w:rsid w:val="430110AB"/>
    <w:rsid w:val="43BE4985"/>
    <w:rsid w:val="4403125D"/>
    <w:rsid w:val="441822E7"/>
    <w:rsid w:val="44935D28"/>
    <w:rsid w:val="44D80F2B"/>
    <w:rsid w:val="45071958"/>
    <w:rsid w:val="45176B8D"/>
    <w:rsid w:val="45877724"/>
    <w:rsid w:val="45E448E1"/>
    <w:rsid w:val="45FF375F"/>
    <w:rsid w:val="46274A64"/>
    <w:rsid w:val="469D0882"/>
    <w:rsid w:val="46A06809"/>
    <w:rsid w:val="46D70238"/>
    <w:rsid w:val="47394A4E"/>
    <w:rsid w:val="478F28C0"/>
    <w:rsid w:val="47C255AA"/>
    <w:rsid w:val="47F81B94"/>
    <w:rsid w:val="482968D7"/>
    <w:rsid w:val="48AC56FF"/>
    <w:rsid w:val="48CF21D0"/>
    <w:rsid w:val="4904176B"/>
    <w:rsid w:val="49731136"/>
    <w:rsid w:val="497D499A"/>
    <w:rsid w:val="49A825AB"/>
    <w:rsid w:val="49AB59AC"/>
    <w:rsid w:val="49B0304E"/>
    <w:rsid w:val="49BC1F05"/>
    <w:rsid w:val="49D91711"/>
    <w:rsid w:val="4A3A6F89"/>
    <w:rsid w:val="4A456D3F"/>
    <w:rsid w:val="4A761B16"/>
    <w:rsid w:val="4AAF6DD6"/>
    <w:rsid w:val="4ADE75F7"/>
    <w:rsid w:val="4B007A08"/>
    <w:rsid w:val="4B101B5A"/>
    <w:rsid w:val="4B6D2F19"/>
    <w:rsid w:val="4BC15012"/>
    <w:rsid w:val="4C162E9B"/>
    <w:rsid w:val="4D027691"/>
    <w:rsid w:val="4D112B8C"/>
    <w:rsid w:val="4D6F1574"/>
    <w:rsid w:val="4DE90850"/>
    <w:rsid w:val="4E6D3AE2"/>
    <w:rsid w:val="4ECD1F20"/>
    <w:rsid w:val="4EF851EF"/>
    <w:rsid w:val="4F035942"/>
    <w:rsid w:val="4F9C71EF"/>
    <w:rsid w:val="4F9D706A"/>
    <w:rsid w:val="50092FA9"/>
    <w:rsid w:val="502C077F"/>
    <w:rsid w:val="504E2060"/>
    <w:rsid w:val="50560058"/>
    <w:rsid w:val="509F189F"/>
    <w:rsid w:val="51D83F3B"/>
    <w:rsid w:val="52742DDF"/>
    <w:rsid w:val="537A7567"/>
    <w:rsid w:val="53B45601"/>
    <w:rsid w:val="53D0673A"/>
    <w:rsid w:val="546724CF"/>
    <w:rsid w:val="54B84D31"/>
    <w:rsid w:val="55D818D6"/>
    <w:rsid w:val="55E06101"/>
    <w:rsid w:val="55FC3817"/>
    <w:rsid w:val="56757D7F"/>
    <w:rsid w:val="56871985"/>
    <w:rsid w:val="56D24578"/>
    <w:rsid w:val="57460AC2"/>
    <w:rsid w:val="58207565"/>
    <w:rsid w:val="58773537"/>
    <w:rsid w:val="58942478"/>
    <w:rsid w:val="59CF14E2"/>
    <w:rsid w:val="5A0A227A"/>
    <w:rsid w:val="5A252853"/>
    <w:rsid w:val="5A3A4F7D"/>
    <w:rsid w:val="5A8A6782"/>
    <w:rsid w:val="5ABD553F"/>
    <w:rsid w:val="5AE14120"/>
    <w:rsid w:val="5B05508F"/>
    <w:rsid w:val="5B236E6D"/>
    <w:rsid w:val="5B62397E"/>
    <w:rsid w:val="5BAC35E9"/>
    <w:rsid w:val="5BD03620"/>
    <w:rsid w:val="5BE92F7E"/>
    <w:rsid w:val="5C13071F"/>
    <w:rsid w:val="5C4F0418"/>
    <w:rsid w:val="5D1C74D3"/>
    <w:rsid w:val="5D704AEA"/>
    <w:rsid w:val="5DAA7FFC"/>
    <w:rsid w:val="5E0D2339"/>
    <w:rsid w:val="5E2D5699"/>
    <w:rsid w:val="5E343D6A"/>
    <w:rsid w:val="5E547F68"/>
    <w:rsid w:val="5E851730"/>
    <w:rsid w:val="5EB911FD"/>
    <w:rsid w:val="5EC74199"/>
    <w:rsid w:val="5ECA60C1"/>
    <w:rsid w:val="5EE410BC"/>
    <w:rsid w:val="5F2B7C2E"/>
    <w:rsid w:val="5F417720"/>
    <w:rsid w:val="6014175D"/>
    <w:rsid w:val="60522285"/>
    <w:rsid w:val="60690988"/>
    <w:rsid w:val="60E5134B"/>
    <w:rsid w:val="60EC6236"/>
    <w:rsid w:val="61031B6E"/>
    <w:rsid w:val="615F2EAC"/>
    <w:rsid w:val="61AD1DFA"/>
    <w:rsid w:val="61CC480A"/>
    <w:rsid w:val="623D470B"/>
    <w:rsid w:val="63A67EDD"/>
    <w:rsid w:val="63B868A3"/>
    <w:rsid w:val="6449273D"/>
    <w:rsid w:val="645817BE"/>
    <w:rsid w:val="656A4A48"/>
    <w:rsid w:val="656C1408"/>
    <w:rsid w:val="65800D41"/>
    <w:rsid w:val="65844425"/>
    <w:rsid w:val="65CA4B4F"/>
    <w:rsid w:val="65D9020D"/>
    <w:rsid w:val="663568D1"/>
    <w:rsid w:val="66637257"/>
    <w:rsid w:val="666872B3"/>
    <w:rsid w:val="668E144B"/>
    <w:rsid w:val="66EC51E2"/>
    <w:rsid w:val="67456875"/>
    <w:rsid w:val="675A043F"/>
    <w:rsid w:val="679113F7"/>
    <w:rsid w:val="683A6906"/>
    <w:rsid w:val="683F7593"/>
    <w:rsid w:val="6848469A"/>
    <w:rsid w:val="68787F8E"/>
    <w:rsid w:val="6898090F"/>
    <w:rsid w:val="694E3525"/>
    <w:rsid w:val="694F4DB4"/>
    <w:rsid w:val="695B2A56"/>
    <w:rsid w:val="697327E9"/>
    <w:rsid w:val="698206D8"/>
    <w:rsid w:val="6A14141D"/>
    <w:rsid w:val="6A657A1C"/>
    <w:rsid w:val="6A762699"/>
    <w:rsid w:val="6AF9102D"/>
    <w:rsid w:val="6B297F1A"/>
    <w:rsid w:val="6B3F0422"/>
    <w:rsid w:val="6B9C38F9"/>
    <w:rsid w:val="6BCC3834"/>
    <w:rsid w:val="6BDB3A77"/>
    <w:rsid w:val="6C1C260E"/>
    <w:rsid w:val="6D3F67F9"/>
    <w:rsid w:val="6DDA38C5"/>
    <w:rsid w:val="6E080427"/>
    <w:rsid w:val="6E0E0133"/>
    <w:rsid w:val="6E3D50AC"/>
    <w:rsid w:val="6E586EDC"/>
    <w:rsid w:val="6E737F96"/>
    <w:rsid w:val="6EB32D75"/>
    <w:rsid w:val="6EC32CCC"/>
    <w:rsid w:val="6EDD18B4"/>
    <w:rsid w:val="6EE40E94"/>
    <w:rsid w:val="6F225F5B"/>
    <w:rsid w:val="6F7C2E7B"/>
    <w:rsid w:val="701337DF"/>
    <w:rsid w:val="702E7FA3"/>
    <w:rsid w:val="70A16E98"/>
    <w:rsid w:val="71B40FF2"/>
    <w:rsid w:val="725B76BF"/>
    <w:rsid w:val="7294672D"/>
    <w:rsid w:val="72F62259"/>
    <w:rsid w:val="731D198F"/>
    <w:rsid w:val="734232BE"/>
    <w:rsid w:val="736600CA"/>
    <w:rsid w:val="73A56E44"/>
    <w:rsid w:val="73AF381F"/>
    <w:rsid w:val="73DB0AB8"/>
    <w:rsid w:val="73FE4864"/>
    <w:rsid w:val="743874CA"/>
    <w:rsid w:val="74D80B53"/>
    <w:rsid w:val="74EE3A38"/>
    <w:rsid w:val="752B1E77"/>
    <w:rsid w:val="76837DDC"/>
    <w:rsid w:val="769F7746"/>
    <w:rsid w:val="78177BE5"/>
    <w:rsid w:val="789F0530"/>
    <w:rsid w:val="793C5F07"/>
    <w:rsid w:val="7A070D58"/>
    <w:rsid w:val="7AE2069B"/>
    <w:rsid w:val="7B864C8F"/>
    <w:rsid w:val="7B9003DA"/>
    <w:rsid w:val="7B981DA8"/>
    <w:rsid w:val="7BE47FDE"/>
    <w:rsid w:val="7CE6522A"/>
    <w:rsid w:val="7D5218B6"/>
    <w:rsid w:val="7D6C4033"/>
    <w:rsid w:val="7DD76268"/>
    <w:rsid w:val="7DFC2BED"/>
    <w:rsid w:val="7E29266A"/>
    <w:rsid w:val="7E3F60E7"/>
    <w:rsid w:val="7E674A43"/>
    <w:rsid w:val="7EA128FE"/>
    <w:rsid w:val="7EB7487A"/>
    <w:rsid w:val="7F210F90"/>
    <w:rsid w:val="7F3177DE"/>
    <w:rsid w:val="7F363046"/>
    <w:rsid w:val="7F53768F"/>
    <w:rsid w:val="7F9F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88" w:lineRule="auto"/>
      <w:ind w:firstLine="640" w:firstLineChars="200"/>
      <w:jc w:val="left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100" w:beforeLines="0" w:beforeAutospacing="0" w:afterLines="0" w:afterAutospacing="0" w:line="360" w:lineRule="auto"/>
      <w:ind w:left="431" w:hanging="431" w:firstLineChars="0"/>
      <w:outlineLvl w:val="0"/>
    </w:pPr>
    <w:rPr>
      <w:rFonts w:eastAsia="微软雅黑"/>
      <w:b/>
      <w:kern w:val="44"/>
      <w:sz w:val="30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before="100" w:beforeLines="0" w:beforeAutospacing="0" w:afterLines="0" w:afterAutospacing="0" w:line="360" w:lineRule="auto"/>
      <w:ind w:left="0" w:firstLine="0" w:firstLineChars="0"/>
      <w:outlineLvl w:val="1"/>
    </w:pPr>
    <w:rPr>
      <w:rFonts w:ascii="Arial" w:hAnsi="Arial" w:eastAsia="微软雅黑"/>
      <w:sz w:val="28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720"/>
      </w:tabs>
      <w:spacing w:before="260" w:beforeLines="0" w:after="260" w:afterLines="0" w:line="416" w:lineRule="auto"/>
      <w:ind w:left="0" w:firstLine="400" w:firstLineChars="0"/>
      <w:outlineLvl w:val="2"/>
    </w:pPr>
    <w:rPr>
      <w:rFonts w:ascii="Times New Roman" w:hAnsi="Times New Roman" w:eastAsia="宋体"/>
      <w:bCs/>
      <w:sz w:val="28"/>
      <w:szCs w:val="32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tabs>
        <w:tab w:val="left" w:pos="1944"/>
      </w:tabs>
      <w:spacing w:before="280" w:beforeLines="0" w:beforeAutospacing="0" w:after="290" w:afterLines="0" w:afterAutospacing="0" w:line="372" w:lineRule="auto"/>
      <w:ind w:left="0" w:firstLine="402" w:firstLineChars="0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link w:val="27"/>
    <w:unhideWhenUsed/>
    <w:qFormat/>
    <w:uiPriority w:val="0"/>
    <w:pPr>
      <w:keepNext/>
      <w:keepLines/>
      <w:numPr>
        <w:ilvl w:val="4"/>
        <w:numId w:val="1"/>
      </w:numPr>
      <w:tabs>
        <w:tab w:val="left" w:pos="1008"/>
      </w:tabs>
      <w:spacing w:before="280" w:beforeLines="0" w:beforeAutospacing="0" w:after="290" w:afterLines="0" w:afterAutospacing="0" w:line="372" w:lineRule="auto"/>
      <w:ind w:left="0" w:firstLine="402" w:firstLineChars="0"/>
      <w:outlineLvl w:val="4"/>
    </w:pPr>
    <w:rPr>
      <w:b/>
      <w:sz w:val="28"/>
    </w:rPr>
  </w:style>
  <w:style w:type="paragraph" w:styleId="9">
    <w:name w:val="heading 6"/>
    <w:basedOn w:val="1"/>
    <w:next w:val="1"/>
    <w:link w:val="24"/>
    <w:unhideWhenUsed/>
    <w:qFormat/>
    <w:uiPriority w:val="0"/>
    <w:pPr>
      <w:keepNext/>
      <w:keepLines/>
      <w:numPr>
        <w:ilvl w:val="5"/>
        <w:numId w:val="1"/>
      </w:numPr>
      <w:tabs>
        <w:tab w:val="left" w:pos="1152"/>
      </w:tabs>
      <w:spacing w:before="240" w:beforeLines="0" w:beforeAutospacing="0" w:after="64" w:afterLines="0" w:afterAutospacing="0" w:line="317" w:lineRule="auto"/>
      <w:ind w:left="0" w:firstLine="402" w:firstLineChars="0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link w:val="25"/>
    <w:unhideWhenUsed/>
    <w:qFormat/>
    <w:uiPriority w:val="0"/>
    <w:pPr>
      <w:keepNext/>
      <w:keepLines/>
      <w:numPr>
        <w:ilvl w:val="6"/>
        <w:numId w:val="1"/>
      </w:numPr>
      <w:tabs>
        <w:tab w:val="left" w:pos="1296"/>
      </w:tabs>
      <w:spacing w:before="240" w:beforeLines="0" w:beforeAutospacing="0" w:after="64" w:afterLines="0" w:afterAutospacing="0" w:line="317" w:lineRule="auto"/>
      <w:ind w:left="0" w:firstLine="402" w:firstLineChars="0"/>
      <w:outlineLvl w:val="6"/>
    </w:pPr>
    <w:rPr>
      <w:b/>
      <w:sz w:val="24"/>
    </w:rPr>
  </w:style>
  <w:style w:type="paragraph" w:styleId="11">
    <w:name w:val="heading 8"/>
    <w:basedOn w:val="1"/>
    <w:next w:val="1"/>
    <w:link w:val="28"/>
    <w:unhideWhenUsed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beforeLines="0" w:beforeAutospacing="0" w:after="64" w:afterLines="0" w:afterAutospacing="0" w:line="317" w:lineRule="auto"/>
      <w:ind w:left="0" w:firstLine="402" w:firstLineChars="0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link w:val="26"/>
    <w:unhideWhenUsed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beforeLines="0" w:beforeAutospacing="0" w:after="64" w:afterLines="0" w:afterAutospacing="0" w:line="317" w:lineRule="auto"/>
      <w:ind w:left="0" w:firstLine="402" w:firstLineChars="0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13">
    <w:name w:val="Plain Text"/>
    <w:basedOn w:val="1"/>
    <w:qFormat/>
    <w:uiPriority w:val="0"/>
    <w:rPr>
      <w:rFonts w:ascii="宋体" w:hAnsi="Courier New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oc 1"/>
    <w:basedOn w:val="1"/>
    <w:next w:val="1"/>
    <w:qFormat/>
    <w:uiPriority w:val="0"/>
  </w:style>
  <w:style w:type="paragraph" w:styleId="17">
    <w:name w:val="toc 2"/>
    <w:basedOn w:val="1"/>
    <w:next w:val="1"/>
    <w:qFormat/>
    <w:uiPriority w:val="0"/>
    <w:pPr>
      <w:ind w:left="420" w:leftChars="200"/>
    </w:pPr>
  </w:style>
  <w:style w:type="table" w:styleId="19">
    <w:name w:val="Table Grid"/>
    <w:basedOn w:val="1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qFormat/>
    <w:uiPriority w:val="0"/>
    <w:rPr>
      <w:color w:val="0000FF"/>
      <w:u w:val="single"/>
    </w:rPr>
  </w:style>
  <w:style w:type="paragraph" w:customStyle="1" w:styleId="22">
    <w:name w:val="Body Text First Indent1"/>
    <w:basedOn w:val="3"/>
    <w:qFormat/>
    <w:uiPriority w:val="0"/>
    <w:pPr>
      <w:ind w:firstLine="420" w:firstLineChars="100"/>
    </w:pPr>
  </w:style>
  <w:style w:type="paragraph" w:customStyle="1" w:styleId="23">
    <w:name w:val="表格文字"/>
    <w:basedOn w:val="1"/>
    <w:qFormat/>
    <w:uiPriority w:val="0"/>
    <w:pPr>
      <w:spacing w:line="240" w:lineRule="auto"/>
      <w:ind w:firstLine="0" w:firstLineChars="0"/>
    </w:pPr>
    <w:rPr>
      <w:rFonts w:hint="default"/>
      <w:sz w:val="21"/>
    </w:rPr>
  </w:style>
  <w:style w:type="character" w:customStyle="1" w:styleId="24">
    <w:name w:val="标题 6 Char"/>
    <w:link w:val="9"/>
    <w:qFormat/>
    <w:uiPriority w:val="0"/>
    <w:rPr>
      <w:rFonts w:ascii="Arial" w:hAnsi="Arial" w:eastAsia="黑体"/>
      <w:b/>
      <w:sz w:val="24"/>
    </w:rPr>
  </w:style>
  <w:style w:type="character" w:customStyle="1" w:styleId="25">
    <w:name w:val="标题 7 Char"/>
    <w:link w:val="10"/>
    <w:qFormat/>
    <w:uiPriority w:val="0"/>
    <w:rPr>
      <w:b/>
      <w:sz w:val="24"/>
    </w:rPr>
  </w:style>
  <w:style w:type="character" w:customStyle="1" w:styleId="26">
    <w:name w:val="标题 9 Char"/>
    <w:link w:val="12"/>
    <w:qFormat/>
    <w:uiPriority w:val="0"/>
    <w:rPr>
      <w:rFonts w:ascii="Arial" w:hAnsi="Arial" w:eastAsia="黑体"/>
      <w:sz w:val="21"/>
    </w:rPr>
  </w:style>
  <w:style w:type="character" w:customStyle="1" w:styleId="27">
    <w:name w:val="标题 5 Char"/>
    <w:link w:val="8"/>
    <w:qFormat/>
    <w:uiPriority w:val="0"/>
    <w:rPr>
      <w:b/>
      <w:sz w:val="28"/>
    </w:rPr>
  </w:style>
  <w:style w:type="character" w:customStyle="1" w:styleId="28">
    <w:name w:val="标题 8 Char"/>
    <w:link w:val="11"/>
    <w:qFormat/>
    <w:uiPriority w:val="0"/>
    <w:rPr>
      <w:rFonts w:ascii="Arial" w:hAnsi="Arial" w:eastAsia="黑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5.jpe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2461</Words>
  <Characters>2559</Characters>
  <Lines>0</Lines>
  <Paragraphs>0</Paragraphs>
  <TotalTime>2</TotalTime>
  <ScaleCrop>false</ScaleCrop>
  <LinksUpToDate>false</LinksUpToDate>
  <CharactersWithSpaces>2636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2022-03-04T02:37:00Z</dcterms:created>
  <dc:creator>Administrator</dc:creator>
  <cp:lastModifiedBy>雯晓雯</cp:lastModifiedBy>
  <dcterms:modified xsi:type="dcterms:W3CDTF">2026-02-02T09:29:46Z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393A8D72B95D4EAA8AF18F7F016C820E_13</vt:lpwstr>
  </property>
  <property fmtid="{D5CDD505-2E9C-101B-9397-08002B2CF9AE}" pid="4" name="KSOTemplateDocerSaveRecord">
    <vt:lpwstr>eyJoZGlkIjoiZDMzZjY2MTI3MmQ3Yzk2MjlhMDY4MWYyNjNkMjJiZmUiLCJ1c2VySWQiOiIyOTI3OTMwMjcifQ==</vt:lpwstr>
  </property>
</Properties>
</file>